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F2F6" w14:textId="77777777" w:rsidR="00A049C5" w:rsidRDefault="00A049C5" w:rsidP="00A472E4">
      <w:pPr>
        <w:pStyle w:val="NoSpacing"/>
        <w:rPr>
          <w:rFonts w:cs="Arial"/>
          <w:b/>
          <w:bCs/>
          <w:sz w:val="22"/>
          <w:szCs w:val="22"/>
        </w:rPr>
      </w:pPr>
    </w:p>
    <w:p w14:paraId="1F23C117" w14:textId="352E5429" w:rsidR="00A472E4" w:rsidRDefault="00A472E4" w:rsidP="00A472E4">
      <w:pPr>
        <w:pStyle w:val="NoSpacing"/>
        <w:rPr>
          <w:rFonts w:cs="Arial"/>
          <w:b/>
          <w:bCs/>
          <w:sz w:val="22"/>
          <w:szCs w:val="22"/>
        </w:rPr>
      </w:pPr>
      <w:r w:rsidRPr="00C3483E">
        <w:rPr>
          <w:rFonts w:cs="Arial"/>
          <w:b/>
          <w:bCs/>
          <w:sz w:val="22"/>
          <w:szCs w:val="22"/>
        </w:rPr>
        <w:t>Report Summary</w:t>
      </w:r>
    </w:p>
    <w:p w14:paraId="5986F89F" w14:textId="77777777" w:rsidR="00A049C5" w:rsidRDefault="00A049C5" w:rsidP="00A472E4">
      <w:pPr>
        <w:pStyle w:val="NoSpacing"/>
        <w:rPr>
          <w:rFonts w:cs="Arial"/>
          <w:b/>
          <w:bCs/>
          <w:sz w:val="22"/>
          <w:szCs w:val="22"/>
        </w:rPr>
      </w:pPr>
    </w:p>
    <w:p w14:paraId="15513E55" w14:textId="2A0A6901" w:rsidR="00B56094" w:rsidRPr="00363F19" w:rsidRDefault="00F63489" w:rsidP="1E60542B">
      <w:pPr>
        <w:jc w:val="both"/>
        <w:rPr>
          <w:rFonts w:eastAsia="Arial" w:cs="Arial"/>
          <w:sz w:val="22"/>
          <w:szCs w:val="22"/>
        </w:rPr>
      </w:pPr>
      <w:r>
        <w:rPr>
          <w:rFonts w:eastAsia="Arial" w:cs="Arial"/>
          <w:color w:val="000000" w:themeColor="text1"/>
          <w:sz w:val="22"/>
          <w:szCs w:val="22"/>
        </w:rPr>
        <w:t xml:space="preserve">The purpose of this report is to seek </w:t>
      </w:r>
      <w:r w:rsidR="00A4703B">
        <w:rPr>
          <w:rFonts w:eastAsia="Arial" w:cs="Arial"/>
          <w:color w:val="000000" w:themeColor="text1"/>
          <w:sz w:val="22"/>
          <w:szCs w:val="22"/>
        </w:rPr>
        <w:t xml:space="preserve">approval of </w:t>
      </w:r>
      <w:r w:rsidR="7BC70F67" w:rsidRPr="1A3DD75C">
        <w:rPr>
          <w:rFonts w:eastAsia="Arial" w:cs="Arial"/>
          <w:color w:val="000000" w:themeColor="text1"/>
          <w:sz w:val="22"/>
          <w:szCs w:val="22"/>
        </w:rPr>
        <w:t>£4,999,063</w:t>
      </w:r>
      <w:r w:rsidR="00363F19" w:rsidRPr="1A3DD75C">
        <w:rPr>
          <w:rFonts w:eastAsia="Times New Roman" w:cs="Arial"/>
          <w:sz w:val="22"/>
          <w:szCs w:val="22"/>
          <w:lang w:eastAsia="en-GB"/>
        </w:rPr>
        <w:t xml:space="preserve"> from the </w:t>
      </w:r>
      <w:proofErr w:type="gramStart"/>
      <w:r w:rsidR="00363F19" w:rsidRPr="1A3DD75C">
        <w:rPr>
          <w:rFonts w:eastAsia="Times New Roman" w:cs="Arial"/>
          <w:sz w:val="22"/>
          <w:szCs w:val="22"/>
          <w:lang w:eastAsia="en-GB"/>
        </w:rPr>
        <w:t>North East</w:t>
      </w:r>
      <w:proofErr w:type="gramEnd"/>
      <w:r w:rsidR="00363F19" w:rsidRPr="1A3DD75C">
        <w:rPr>
          <w:rFonts w:eastAsia="Times New Roman" w:cs="Arial"/>
          <w:sz w:val="22"/>
          <w:szCs w:val="22"/>
          <w:lang w:eastAsia="en-GB"/>
        </w:rPr>
        <w:t xml:space="preserve"> Combined Authority</w:t>
      </w:r>
      <w:r w:rsidR="00774ED3" w:rsidRPr="1A3DD75C">
        <w:rPr>
          <w:rFonts w:eastAsia="Times New Roman" w:cs="Arial"/>
          <w:sz w:val="22"/>
          <w:szCs w:val="22"/>
          <w:lang w:eastAsia="en-GB"/>
        </w:rPr>
        <w:t xml:space="preserve"> (N</w:t>
      </w:r>
      <w:r w:rsidR="0C6487D8" w:rsidRPr="1A3DD75C">
        <w:rPr>
          <w:rFonts w:eastAsia="Times New Roman" w:cs="Arial"/>
          <w:sz w:val="22"/>
          <w:szCs w:val="22"/>
          <w:lang w:eastAsia="en-GB"/>
        </w:rPr>
        <w:t>orth East C</w:t>
      </w:r>
      <w:r w:rsidR="00774ED3" w:rsidRPr="1A3DD75C">
        <w:rPr>
          <w:rFonts w:eastAsia="Times New Roman" w:cs="Arial"/>
          <w:sz w:val="22"/>
          <w:szCs w:val="22"/>
          <w:lang w:eastAsia="en-GB"/>
        </w:rPr>
        <w:t>A)</w:t>
      </w:r>
      <w:r w:rsidR="00363F19" w:rsidRPr="1A3DD75C">
        <w:rPr>
          <w:rFonts w:eastAsia="Times New Roman" w:cs="Arial"/>
          <w:sz w:val="22"/>
          <w:szCs w:val="22"/>
          <w:lang w:eastAsia="en-GB"/>
        </w:rPr>
        <w:t xml:space="preserve"> to progress essential infrastructure works in the Forth Yards regeneration area across two elements </w:t>
      </w:r>
      <w:r w:rsidR="00363F19" w:rsidRPr="1A3DD75C">
        <w:rPr>
          <w:rFonts w:eastAsia="Arial" w:cs="Arial"/>
          <w:sz w:val="22"/>
          <w:szCs w:val="22"/>
        </w:rPr>
        <w:t>- Pottery Lane widening (£4.27m) and facilitating works for the Newcastle Highline (</w:t>
      </w:r>
      <w:r w:rsidR="2097BA51" w:rsidRPr="1A3DD75C">
        <w:rPr>
          <w:rFonts w:eastAsia="Arial" w:cs="Arial"/>
          <w:sz w:val="22"/>
          <w:szCs w:val="22"/>
        </w:rPr>
        <w:t>£</w:t>
      </w:r>
      <w:r w:rsidR="00363F19" w:rsidRPr="1A3DD75C">
        <w:rPr>
          <w:rFonts w:eastAsia="Arial" w:cs="Arial"/>
          <w:sz w:val="22"/>
          <w:szCs w:val="22"/>
        </w:rPr>
        <w:t>0.73m). The Pottery Lane widening will remove the width constraint</w:t>
      </w:r>
      <w:r w:rsidR="751B78DE" w:rsidRPr="1A3DD75C">
        <w:rPr>
          <w:rFonts w:eastAsia="Arial" w:cs="Arial"/>
          <w:sz w:val="22"/>
          <w:szCs w:val="22"/>
        </w:rPr>
        <w:t xml:space="preserve"> on the current highway</w:t>
      </w:r>
      <w:r w:rsidR="00363F19" w:rsidRPr="1A3DD75C">
        <w:rPr>
          <w:rFonts w:eastAsia="Arial" w:cs="Arial"/>
          <w:sz w:val="22"/>
          <w:szCs w:val="22"/>
        </w:rPr>
        <w:t xml:space="preserve">, </w:t>
      </w:r>
      <w:r w:rsidR="3329116D" w:rsidRPr="1A3DD75C">
        <w:rPr>
          <w:rFonts w:eastAsia="Arial" w:cs="Arial"/>
          <w:sz w:val="22"/>
          <w:szCs w:val="22"/>
        </w:rPr>
        <w:t>adjacent to</w:t>
      </w:r>
      <w:r w:rsidR="00363F19" w:rsidRPr="1A3DD75C">
        <w:rPr>
          <w:rFonts w:eastAsia="Arial" w:cs="Arial"/>
          <w:sz w:val="22"/>
          <w:szCs w:val="22"/>
        </w:rPr>
        <w:t xml:space="preserve"> sites with </w:t>
      </w:r>
      <w:r w:rsidR="1C25AF54" w:rsidRPr="1A3DD75C">
        <w:rPr>
          <w:rFonts w:eastAsia="Arial" w:cs="Arial"/>
          <w:sz w:val="22"/>
          <w:szCs w:val="22"/>
        </w:rPr>
        <w:t>the focus</w:t>
      </w:r>
      <w:r w:rsidR="00363F19" w:rsidRPr="1A3DD75C">
        <w:rPr>
          <w:rFonts w:eastAsia="Arial" w:cs="Arial"/>
          <w:sz w:val="22"/>
          <w:szCs w:val="22"/>
        </w:rPr>
        <w:t xml:space="preserve"> for early development on the eastern side of the regeneration area. The</w:t>
      </w:r>
      <w:r w:rsidR="070D372E" w:rsidRPr="1A3DD75C">
        <w:rPr>
          <w:rFonts w:eastAsia="Arial" w:cs="Arial"/>
          <w:sz w:val="22"/>
          <w:szCs w:val="22"/>
        </w:rPr>
        <w:t xml:space="preserve"> proposed</w:t>
      </w:r>
      <w:r w:rsidR="00363F19" w:rsidRPr="1A3DD75C">
        <w:rPr>
          <w:rFonts w:eastAsia="Arial" w:cs="Arial"/>
          <w:sz w:val="22"/>
          <w:szCs w:val="22"/>
        </w:rPr>
        <w:t xml:space="preserve"> Highline is a critical part of the area’s active travel infrastructure, connecting the </w:t>
      </w:r>
      <w:r w:rsidR="00363F19" w:rsidRPr="1A3DD75C">
        <w:rPr>
          <w:rFonts w:cs="Arial"/>
          <w:sz w:val="22"/>
          <w:szCs w:val="22"/>
        </w:rPr>
        <w:t>city centre to the future Forth Yards neighbourhood and to existing communities.</w:t>
      </w:r>
    </w:p>
    <w:p w14:paraId="06FC73D6" w14:textId="77777777" w:rsidR="00CB22B2" w:rsidRPr="00C3483E" w:rsidRDefault="00CB22B2" w:rsidP="00CB22B2">
      <w:pPr>
        <w:pStyle w:val="NoSpacing"/>
        <w:rPr>
          <w:rFonts w:cs="Arial"/>
          <w:sz w:val="22"/>
          <w:szCs w:val="22"/>
        </w:rPr>
      </w:pPr>
    </w:p>
    <w:p w14:paraId="0C5E7624" w14:textId="51362727" w:rsidR="00A472E4" w:rsidRPr="00C3483E" w:rsidRDefault="00A472E4" w:rsidP="00A472E4">
      <w:pPr>
        <w:pStyle w:val="NoSpacing"/>
        <w:rPr>
          <w:rFonts w:cs="Arial"/>
          <w:b/>
          <w:sz w:val="22"/>
          <w:szCs w:val="22"/>
        </w:rPr>
      </w:pPr>
      <w:r w:rsidRPr="00C3483E">
        <w:rPr>
          <w:rFonts w:cs="Arial"/>
          <w:b/>
          <w:sz w:val="22"/>
          <w:szCs w:val="22"/>
        </w:rPr>
        <w:t>Recommendations</w:t>
      </w:r>
      <w:r w:rsidR="00363F19">
        <w:rPr>
          <w:rFonts w:cs="Arial"/>
          <w:b/>
          <w:sz w:val="22"/>
          <w:szCs w:val="22"/>
        </w:rPr>
        <w:t>:</w:t>
      </w:r>
    </w:p>
    <w:p w14:paraId="1EE6E94B" w14:textId="77777777" w:rsidR="00A472E4" w:rsidRPr="00C3483E" w:rsidRDefault="00A472E4" w:rsidP="00A472E4">
      <w:pPr>
        <w:pStyle w:val="NoSpacing"/>
        <w:rPr>
          <w:rFonts w:cs="Arial"/>
          <w:b/>
          <w:sz w:val="22"/>
          <w:szCs w:val="22"/>
        </w:rPr>
      </w:pPr>
    </w:p>
    <w:p w14:paraId="15FF3F99" w14:textId="05E5A7B4" w:rsidR="00695FF5" w:rsidRPr="00C3483E" w:rsidRDefault="00A472E4" w:rsidP="00525B23">
      <w:pPr>
        <w:pStyle w:val="NoSpacing"/>
        <w:jc w:val="both"/>
        <w:rPr>
          <w:rFonts w:cs="Arial"/>
          <w:sz w:val="22"/>
          <w:szCs w:val="22"/>
        </w:rPr>
      </w:pPr>
      <w:r w:rsidRPr="06E70375">
        <w:rPr>
          <w:rFonts w:cs="Arial"/>
          <w:sz w:val="22"/>
          <w:szCs w:val="22"/>
        </w:rPr>
        <w:t>The Chief Executive</w:t>
      </w:r>
      <w:r w:rsidR="00ED44BC">
        <w:rPr>
          <w:rFonts w:cs="Arial"/>
          <w:sz w:val="22"/>
          <w:szCs w:val="22"/>
        </w:rPr>
        <w:t xml:space="preserve">, in </w:t>
      </w:r>
      <w:r w:rsidR="00525B23">
        <w:rPr>
          <w:rFonts w:cs="Arial"/>
          <w:sz w:val="22"/>
          <w:szCs w:val="22"/>
        </w:rPr>
        <w:t xml:space="preserve">consultation with the </w:t>
      </w:r>
      <w:proofErr w:type="gramStart"/>
      <w:r w:rsidR="00525B23">
        <w:rPr>
          <w:rFonts w:cs="Arial"/>
          <w:sz w:val="22"/>
          <w:szCs w:val="22"/>
        </w:rPr>
        <w:t>Mayor</w:t>
      </w:r>
      <w:proofErr w:type="gramEnd"/>
      <w:r w:rsidR="00525B23">
        <w:rPr>
          <w:rFonts w:cs="Arial"/>
          <w:sz w:val="22"/>
          <w:szCs w:val="22"/>
        </w:rPr>
        <w:t>, relevant Cabinet Member and the Finance and Investment Board,</w:t>
      </w:r>
      <w:r w:rsidRPr="06E70375">
        <w:rPr>
          <w:rFonts w:cs="Arial"/>
          <w:sz w:val="22"/>
          <w:szCs w:val="22"/>
        </w:rPr>
        <w:t xml:space="preserve"> is recommended to</w:t>
      </w:r>
      <w:r w:rsidR="00695FF5" w:rsidRPr="06E70375">
        <w:rPr>
          <w:rFonts w:cs="Arial"/>
          <w:sz w:val="22"/>
          <w:szCs w:val="22"/>
        </w:rPr>
        <w:t>:</w:t>
      </w:r>
    </w:p>
    <w:p w14:paraId="7B5E87C3" w14:textId="77777777" w:rsidR="00695FF5" w:rsidRPr="00C3483E" w:rsidRDefault="00695FF5" w:rsidP="00A472E4">
      <w:pPr>
        <w:pStyle w:val="NoSpacing"/>
        <w:rPr>
          <w:rFonts w:cs="Arial"/>
          <w:sz w:val="22"/>
          <w:szCs w:val="22"/>
        </w:rPr>
      </w:pPr>
    </w:p>
    <w:p w14:paraId="1B90AE27" w14:textId="2594D079" w:rsidR="00A472E4" w:rsidRPr="00C3483E" w:rsidRDefault="001B74FC" w:rsidP="00695FF5">
      <w:pPr>
        <w:pStyle w:val="NoSpacing"/>
        <w:numPr>
          <w:ilvl w:val="0"/>
          <w:numId w:val="26"/>
        </w:numPr>
        <w:jc w:val="both"/>
        <w:rPr>
          <w:rFonts w:cs="Arial"/>
          <w:sz w:val="22"/>
          <w:szCs w:val="22"/>
        </w:rPr>
      </w:pPr>
      <w:r w:rsidRPr="06E70375">
        <w:rPr>
          <w:rFonts w:cs="Arial"/>
          <w:sz w:val="22"/>
          <w:szCs w:val="22"/>
        </w:rPr>
        <w:t>A</w:t>
      </w:r>
      <w:r w:rsidR="00695FF5" w:rsidRPr="06E70375">
        <w:rPr>
          <w:rFonts w:cs="Arial"/>
          <w:sz w:val="22"/>
          <w:szCs w:val="22"/>
        </w:rPr>
        <w:t>pprov</w:t>
      </w:r>
      <w:r w:rsidR="00EB6992" w:rsidRPr="06E70375">
        <w:rPr>
          <w:rFonts w:cs="Arial"/>
          <w:sz w:val="22"/>
          <w:szCs w:val="22"/>
        </w:rPr>
        <w:t>e</w:t>
      </w:r>
      <w:r w:rsidR="003526EB" w:rsidRPr="06E70375">
        <w:rPr>
          <w:rFonts w:cs="Arial"/>
          <w:sz w:val="22"/>
          <w:szCs w:val="22"/>
        </w:rPr>
        <w:t xml:space="preserve"> </w:t>
      </w:r>
      <w:r w:rsidR="00B56094" w:rsidRPr="06E70375">
        <w:rPr>
          <w:rFonts w:cs="Arial"/>
          <w:sz w:val="22"/>
          <w:szCs w:val="22"/>
        </w:rPr>
        <w:t>£4,999,063</w:t>
      </w:r>
      <w:r w:rsidR="003526EB" w:rsidRPr="06E70375">
        <w:rPr>
          <w:rFonts w:cs="Arial"/>
          <w:sz w:val="22"/>
          <w:szCs w:val="22"/>
        </w:rPr>
        <w:t xml:space="preserve"> </w:t>
      </w:r>
      <w:r w:rsidR="00EB6992" w:rsidRPr="06E70375">
        <w:rPr>
          <w:rFonts w:cs="Arial"/>
          <w:sz w:val="22"/>
          <w:szCs w:val="22"/>
        </w:rPr>
        <w:t xml:space="preserve">of </w:t>
      </w:r>
      <w:r w:rsidR="003526EB" w:rsidRPr="06E70375">
        <w:rPr>
          <w:rFonts w:cs="Arial"/>
          <w:sz w:val="22"/>
          <w:szCs w:val="22"/>
        </w:rPr>
        <w:t xml:space="preserve">Trailblazer funds to Newcastle City Council for </w:t>
      </w:r>
      <w:r w:rsidR="00695FF5" w:rsidRPr="06E70375">
        <w:rPr>
          <w:rFonts w:cs="Arial"/>
          <w:sz w:val="22"/>
          <w:szCs w:val="22"/>
        </w:rPr>
        <w:t xml:space="preserve">the </w:t>
      </w:r>
      <w:r w:rsidR="1C1F3878" w:rsidRPr="06E70375">
        <w:rPr>
          <w:rFonts w:cs="Arial"/>
          <w:sz w:val="22"/>
          <w:szCs w:val="22"/>
        </w:rPr>
        <w:t xml:space="preserve">Forth Yards </w:t>
      </w:r>
      <w:r w:rsidR="00695FF5" w:rsidRPr="06E70375">
        <w:rPr>
          <w:rFonts w:cs="Arial"/>
          <w:sz w:val="22"/>
          <w:szCs w:val="22"/>
        </w:rPr>
        <w:t>scheme set out</w:t>
      </w:r>
      <w:r w:rsidR="0640446F" w:rsidRPr="06E70375">
        <w:rPr>
          <w:rFonts w:cs="Arial"/>
          <w:sz w:val="22"/>
          <w:szCs w:val="22"/>
        </w:rPr>
        <w:t xml:space="preserve"> in the report</w:t>
      </w:r>
      <w:r w:rsidR="00525B23">
        <w:rPr>
          <w:rFonts w:cs="Arial"/>
          <w:sz w:val="22"/>
          <w:szCs w:val="22"/>
        </w:rPr>
        <w:t>.</w:t>
      </w:r>
    </w:p>
    <w:p w14:paraId="0B292DC5" w14:textId="78D94ED0" w:rsidR="00786202" w:rsidRPr="00C3483E" w:rsidRDefault="00786202" w:rsidP="06E70375">
      <w:pPr>
        <w:pStyle w:val="NoSpacing"/>
        <w:ind w:left="1080"/>
        <w:jc w:val="both"/>
        <w:rPr>
          <w:rFonts w:cs="Arial"/>
          <w:sz w:val="22"/>
          <w:szCs w:val="22"/>
        </w:rPr>
      </w:pPr>
    </w:p>
    <w:p w14:paraId="607F48DB" w14:textId="2588D930" w:rsidR="00786202" w:rsidRPr="00C3483E" w:rsidRDefault="00786202" w:rsidP="00786202">
      <w:pPr>
        <w:pStyle w:val="NoSpacing"/>
        <w:numPr>
          <w:ilvl w:val="0"/>
          <w:numId w:val="25"/>
        </w:numPr>
        <w:rPr>
          <w:rFonts w:cs="Arial"/>
          <w:b/>
          <w:bCs/>
          <w:sz w:val="22"/>
          <w:szCs w:val="22"/>
        </w:rPr>
      </w:pPr>
      <w:r w:rsidRPr="00C3483E">
        <w:rPr>
          <w:rFonts w:cs="Arial"/>
          <w:b/>
          <w:bCs/>
          <w:sz w:val="22"/>
          <w:szCs w:val="22"/>
        </w:rPr>
        <w:t>Context</w:t>
      </w:r>
      <w:r w:rsidR="00363F19">
        <w:rPr>
          <w:rFonts w:cs="Arial"/>
          <w:b/>
          <w:bCs/>
          <w:sz w:val="22"/>
          <w:szCs w:val="22"/>
        </w:rPr>
        <w:t>:</w:t>
      </w:r>
    </w:p>
    <w:p w14:paraId="6EC524DA" w14:textId="77777777" w:rsidR="00786202" w:rsidRPr="00C3483E" w:rsidRDefault="00786202" w:rsidP="00786202">
      <w:pPr>
        <w:pStyle w:val="NoSpacing"/>
        <w:rPr>
          <w:rFonts w:cs="Arial"/>
          <w:color w:val="00B050"/>
          <w:sz w:val="22"/>
          <w:szCs w:val="22"/>
        </w:rPr>
      </w:pPr>
    </w:p>
    <w:p w14:paraId="0852134A" w14:textId="6233FDE6" w:rsidR="00786202" w:rsidRPr="00C3483E" w:rsidRDefault="001B74FC" w:rsidP="00762017">
      <w:pPr>
        <w:pStyle w:val="NoSpacing"/>
        <w:jc w:val="both"/>
        <w:rPr>
          <w:rFonts w:cs="Arial"/>
          <w:sz w:val="22"/>
          <w:szCs w:val="22"/>
        </w:rPr>
      </w:pPr>
      <w:r w:rsidRPr="06E70375">
        <w:rPr>
          <w:rFonts w:cs="Arial"/>
          <w:sz w:val="22"/>
          <w:szCs w:val="22"/>
        </w:rPr>
        <w:t xml:space="preserve">Delegated Decision was authorised at Cabinet on the 11 June 2024 (C13/6/24 </w:t>
      </w:r>
      <w:proofErr w:type="gramStart"/>
      <w:r w:rsidRPr="06E70375">
        <w:rPr>
          <w:rFonts w:cs="Arial"/>
          <w:sz w:val="22"/>
          <w:szCs w:val="22"/>
        </w:rPr>
        <w:t>North East</w:t>
      </w:r>
      <w:proofErr w:type="gramEnd"/>
      <w:r w:rsidRPr="06E70375">
        <w:rPr>
          <w:rFonts w:cs="Arial"/>
          <w:sz w:val="22"/>
          <w:szCs w:val="22"/>
        </w:rPr>
        <w:t xml:space="preserve"> Deeper</w:t>
      </w:r>
      <w:r w:rsidR="2433B2FC" w:rsidRPr="06E70375">
        <w:rPr>
          <w:rFonts w:cs="Arial"/>
          <w:sz w:val="22"/>
          <w:szCs w:val="22"/>
        </w:rPr>
        <w:t xml:space="preserve"> </w:t>
      </w:r>
      <w:r w:rsidRPr="06E70375">
        <w:rPr>
          <w:rFonts w:cs="Arial"/>
          <w:sz w:val="22"/>
          <w:szCs w:val="22"/>
        </w:rPr>
        <w:t>Devolution Deal – Ratification and Next Steps)</w:t>
      </w:r>
      <w:r w:rsidR="768F8AC3" w:rsidRPr="06E70375">
        <w:rPr>
          <w:rFonts w:cs="Arial"/>
          <w:sz w:val="22"/>
          <w:szCs w:val="22"/>
        </w:rPr>
        <w:t>.</w:t>
      </w:r>
    </w:p>
    <w:p w14:paraId="05EC709B" w14:textId="5C9CB6BA" w:rsidR="00786202" w:rsidRPr="00C3483E" w:rsidRDefault="00786202" w:rsidP="1E60542B">
      <w:pPr>
        <w:pStyle w:val="NoSpacing"/>
        <w:rPr>
          <w:rFonts w:cs="Arial"/>
          <w:sz w:val="22"/>
          <w:szCs w:val="22"/>
        </w:rPr>
      </w:pPr>
    </w:p>
    <w:p w14:paraId="3A1DCE92" w14:textId="561491FA" w:rsidR="00786202" w:rsidRPr="00C3483E" w:rsidRDefault="5A0AC476" w:rsidP="1E60542B">
      <w:pPr>
        <w:spacing w:line="259" w:lineRule="auto"/>
        <w:jc w:val="both"/>
        <w:rPr>
          <w:rFonts w:eastAsia="Arial" w:cs="Arial"/>
          <w:color w:val="000000" w:themeColor="text1"/>
          <w:sz w:val="22"/>
          <w:szCs w:val="22"/>
          <w:lang w:val="en-US"/>
        </w:rPr>
      </w:pPr>
      <w:r w:rsidRPr="06E70375">
        <w:rPr>
          <w:rFonts w:eastAsia="Arial" w:cs="Arial"/>
          <w:color w:val="000000" w:themeColor="text1"/>
          <w:sz w:val="22"/>
          <w:szCs w:val="22"/>
        </w:rPr>
        <w:t>Forth Yards represents a once in a generation major strategic place making opportunity in what is the last major undeveloped water frontage area of the city of Newcastle</w:t>
      </w:r>
      <w:r w:rsidR="0BBDF009" w:rsidRPr="06E70375">
        <w:rPr>
          <w:rFonts w:eastAsia="Arial" w:cs="Arial"/>
          <w:color w:val="000000" w:themeColor="text1"/>
          <w:sz w:val="22"/>
          <w:szCs w:val="22"/>
        </w:rPr>
        <w:t xml:space="preserve"> and is a key element to the </w:t>
      </w:r>
      <w:r w:rsidR="00971329" w:rsidRPr="06E70375">
        <w:rPr>
          <w:rFonts w:eastAsia="Arial" w:cs="Arial"/>
          <w:color w:val="000000" w:themeColor="text1"/>
          <w:sz w:val="22"/>
          <w:szCs w:val="22"/>
        </w:rPr>
        <w:t>rejuvenation</w:t>
      </w:r>
      <w:r w:rsidR="000A646F" w:rsidRPr="06E70375">
        <w:rPr>
          <w:rFonts w:eastAsia="Arial" w:cs="Arial"/>
          <w:color w:val="000000" w:themeColor="text1"/>
          <w:sz w:val="22"/>
          <w:szCs w:val="22"/>
        </w:rPr>
        <w:t xml:space="preserve"> </w:t>
      </w:r>
      <w:r w:rsidR="0BBDF009" w:rsidRPr="06E70375">
        <w:rPr>
          <w:rFonts w:eastAsia="Arial" w:cs="Arial"/>
          <w:color w:val="000000" w:themeColor="text1"/>
          <w:sz w:val="22"/>
          <w:szCs w:val="22"/>
        </w:rPr>
        <w:t>of the river as being brought forward by both Newcastle C</w:t>
      </w:r>
      <w:r w:rsidR="7BEFFEF7" w:rsidRPr="06E70375">
        <w:rPr>
          <w:rFonts w:eastAsia="Arial" w:cs="Arial"/>
          <w:color w:val="000000" w:themeColor="text1"/>
          <w:sz w:val="22"/>
          <w:szCs w:val="22"/>
        </w:rPr>
        <w:t xml:space="preserve">ity </w:t>
      </w:r>
      <w:r w:rsidR="0BBDF009" w:rsidRPr="06E70375">
        <w:rPr>
          <w:rFonts w:eastAsia="Arial" w:cs="Arial"/>
          <w:color w:val="000000" w:themeColor="text1"/>
          <w:sz w:val="22"/>
          <w:szCs w:val="22"/>
        </w:rPr>
        <w:t>C</w:t>
      </w:r>
      <w:r w:rsidR="4A94DC48" w:rsidRPr="06E70375">
        <w:rPr>
          <w:rFonts w:eastAsia="Arial" w:cs="Arial"/>
          <w:color w:val="000000" w:themeColor="text1"/>
          <w:sz w:val="22"/>
          <w:szCs w:val="22"/>
        </w:rPr>
        <w:t>ouncil</w:t>
      </w:r>
      <w:r w:rsidR="0BBDF009" w:rsidRPr="06E70375">
        <w:rPr>
          <w:rFonts w:eastAsia="Arial" w:cs="Arial"/>
          <w:color w:val="000000" w:themeColor="text1"/>
          <w:sz w:val="22"/>
          <w:szCs w:val="22"/>
        </w:rPr>
        <w:t xml:space="preserve"> and Gatesh</w:t>
      </w:r>
      <w:r w:rsidR="0B29C43C" w:rsidRPr="06E70375">
        <w:rPr>
          <w:rFonts w:eastAsia="Arial" w:cs="Arial"/>
          <w:color w:val="000000" w:themeColor="text1"/>
          <w:sz w:val="22"/>
          <w:szCs w:val="22"/>
        </w:rPr>
        <w:t>ead Council</w:t>
      </w:r>
      <w:r w:rsidRPr="06E70375">
        <w:rPr>
          <w:rFonts w:eastAsia="Arial" w:cs="Arial"/>
          <w:color w:val="000000" w:themeColor="text1"/>
          <w:sz w:val="22"/>
          <w:szCs w:val="22"/>
        </w:rPr>
        <w:t>. The site, in the west end of Newcastle, adjacent to Central Station</w:t>
      </w:r>
      <w:r w:rsidR="00573A54" w:rsidRPr="06E70375">
        <w:rPr>
          <w:rFonts w:eastAsia="Arial" w:cs="Arial"/>
          <w:color w:val="000000" w:themeColor="text1"/>
          <w:sz w:val="22"/>
          <w:szCs w:val="22"/>
        </w:rPr>
        <w:t>,</w:t>
      </w:r>
      <w:r w:rsidRPr="06E70375">
        <w:rPr>
          <w:rFonts w:eastAsia="Arial" w:cs="Arial"/>
          <w:color w:val="000000" w:themeColor="text1"/>
          <w:sz w:val="22"/>
          <w:szCs w:val="22"/>
        </w:rPr>
        <w:t xml:space="preserve"> has long been blighted by contamination and mixed minor land ownership</w:t>
      </w:r>
      <w:r w:rsidR="76AF8772" w:rsidRPr="06E70375">
        <w:rPr>
          <w:rFonts w:eastAsia="Arial" w:cs="Arial"/>
          <w:color w:val="000000" w:themeColor="text1"/>
          <w:sz w:val="22"/>
          <w:szCs w:val="22"/>
        </w:rPr>
        <w:t xml:space="preserve"> and is </w:t>
      </w:r>
      <w:r w:rsidR="00573A54" w:rsidRPr="06E70375">
        <w:rPr>
          <w:rFonts w:eastAsia="Arial" w:cs="Arial"/>
          <w:color w:val="000000" w:themeColor="text1"/>
          <w:sz w:val="22"/>
          <w:szCs w:val="22"/>
        </w:rPr>
        <w:t>a particularly</w:t>
      </w:r>
      <w:r w:rsidR="76AF8772" w:rsidRPr="06E70375">
        <w:rPr>
          <w:rFonts w:eastAsia="Arial" w:cs="Arial"/>
          <w:color w:val="000000" w:themeColor="text1"/>
          <w:sz w:val="22"/>
          <w:szCs w:val="22"/>
        </w:rPr>
        <w:t xml:space="preserve"> challenging brownfield site</w:t>
      </w:r>
      <w:r w:rsidR="00573A54" w:rsidRPr="06E70375">
        <w:rPr>
          <w:rFonts w:eastAsia="Arial" w:cs="Arial"/>
          <w:color w:val="000000" w:themeColor="text1"/>
          <w:sz w:val="22"/>
          <w:szCs w:val="22"/>
        </w:rPr>
        <w:t xml:space="preserve"> to develop.</w:t>
      </w:r>
    </w:p>
    <w:p w14:paraId="48DB5414" w14:textId="399918B5" w:rsidR="00786202" w:rsidRPr="00C3483E" w:rsidRDefault="5A0AC476" w:rsidP="1E60542B">
      <w:pPr>
        <w:spacing w:line="259" w:lineRule="auto"/>
        <w:ind w:left="360"/>
        <w:jc w:val="both"/>
        <w:rPr>
          <w:rFonts w:eastAsia="Arial" w:cs="Arial"/>
          <w:color w:val="000000" w:themeColor="text1"/>
          <w:sz w:val="22"/>
          <w:szCs w:val="22"/>
          <w:lang w:val="en-US"/>
        </w:rPr>
      </w:pPr>
      <w:r w:rsidRPr="1E60542B">
        <w:rPr>
          <w:rFonts w:eastAsia="Arial" w:cs="Arial"/>
          <w:color w:val="000000" w:themeColor="text1"/>
          <w:sz w:val="22"/>
          <w:szCs w:val="22"/>
        </w:rPr>
        <w:t xml:space="preserve"> </w:t>
      </w:r>
    </w:p>
    <w:p w14:paraId="3EA8BC4C" w14:textId="35432B53" w:rsidR="00786202" w:rsidRPr="00C3483E" w:rsidRDefault="00F1194A" w:rsidP="1E60542B">
      <w:pPr>
        <w:spacing w:line="259" w:lineRule="auto"/>
        <w:jc w:val="both"/>
        <w:rPr>
          <w:rFonts w:eastAsia="Arial" w:cs="Arial"/>
          <w:color w:val="000000" w:themeColor="text1"/>
          <w:sz w:val="22"/>
          <w:szCs w:val="22"/>
          <w:lang w:val="en-US"/>
        </w:rPr>
      </w:pPr>
      <w:r w:rsidRPr="06E70375">
        <w:rPr>
          <w:rFonts w:eastAsia="Arial" w:cs="Arial"/>
          <w:color w:val="000000" w:themeColor="text1"/>
          <w:sz w:val="22"/>
          <w:szCs w:val="22"/>
        </w:rPr>
        <w:t>The scheme will present</w:t>
      </w:r>
      <w:r w:rsidR="5A0AC476" w:rsidRPr="06E70375">
        <w:rPr>
          <w:rFonts w:eastAsia="Arial" w:cs="Arial"/>
          <w:color w:val="000000" w:themeColor="text1"/>
          <w:sz w:val="22"/>
          <w:szCs w:val="22"/>
        </w:rPr>
        <w:t xml:space="preserve"> a western gateway into the city centre and communities in the inner west and is now coming forward, driven by a public sector partnership model.</w:t>
      </w:r>
      <w:r w:rsidR="4DBD4441" w:rsidRPr="06E70375">
        <w:rPr>
          <w:rFonts w:eastAsia="Arial" w:cs="Arial"/>
          <w:color w:val="000000" w:themeColor="text1"/>
          <w:sz w:val="22"/>
          <w:szCs w:val="22"/>
        </w:rPr>
        <w:t xml:space="preserve"> </w:t>
      </w:r>
      <w:r w:rsidR="00197156" w:rsidRPr="06E70375">
        <w:rPr>
          <w:rFonts w:eastAsia="Arial" w:cs="Arial"/>
          <w:color w:val="000000" w:themeColor="text1"/>
          <w:sz w:val="22"/>
          <w:szCs w:val="22"/>
        </w:rPr>
        <w:t>Once complete, it</w:t>
      </w:r>
      <w:r w:rsidR="5A0AC476" w:rsidRPr="06E70375">
        <w:rPr>
          <w:rFonts w:eastAsia="Arial" w:cs="Arial"/>
          <w:color w:val="000000" w:themeColor="text1"/>
          <w:sz w:val="22"/>
          <w:szCs w:val="22"/>
        </w:rPr>
        <w:t xml:space="preserve"> will deliver 20ha of Brownfield </w:t>
      </w:r>
      <w:r w:rsidR="00197156" w:rsidRPr="06E70375">
        <w:rPr>
          <w:rFonts w:eastAsia="Arial" w:cs="Arial"/>
          <w:color w:val="000000" w:themeColor="text1"/>
          <w:sz w:val="22"/>
          <w:szCs w:val="22"/>
        </w:rPr>
        <w:t>L</w:t>
      </w:r>
      <w:r w:rsidR="5A0AC476" w:rsidRPr="06E70375">
        <w:rPr>
          <w:rFonts w:eastAsia="Arial" w:cs="Arial"/>
          <w:color w:val="000000" w:themeColor="text1"/>
          <w:sz w:val="22"/>
          <w:szCs w:val="22"/>
        </w:rPr>
        <w:t xml:space="preserve">and developed; </w:t>
      </w:r>
      <w:r w:rsidR="61688282" w:rsidRPr="06E70375">
        <w:rPr>
          <w:rFonts w:eastAsia="Arial" w:cs="Arial"/>
          <w:color w:val="000000" w:themeColor="text1"/>
          <w:sz w:val="22"/>
          <w:szCs w:val="22"/>
        </w:rPr>
        <w:t xml:space="preserve">over </w:t>
      </w:r>
      <w:r w:rsidR="5A0AC476" w:rsidRPr="06E70375">
        <w:rPr>
          <w:rFonts w:eastAsia="Arial" w:cs="Arial"/>
          <w:color w:val="000000" w:themeColor="text1"/>
          <w:sz w:val="22"/>
          <w:szCs w:val="22"/>
        </w:rPr>
        <w:t>35</w:t>
      </w:r>
      <w:r w:rsidR="2430DE14" w:rsidRPr="06E70375">
        <w:rPr>
          <w:rFonts w:eastAsia="Arial" w:cs="Arial"/>
          <w:color w:val="000000" w:themeColor="text1"/>
          <w:sz w:val="22"/>
          <w:szCs w:val="22"/>
        </w:rPr>
        <w:t>00</w:t>
      </w:r>
      <w:r w:rsidR="5A0AC476" w:rsidRPr="06E70375">
        <w:rPr>
          <w:rFonts w:eastAsia="Arial" w:cs="Arial"/>
          <w:color w:val="000000" w:themeColor="text1"/>
          <w:sz w:val="22"/>
          <w:szCs w:val="22"/>
        </w:rPr>
        <w:t xml:space="preserve"> new Housing Units; and 350,000sqft of new commercial floor space, as well as community facilities; new public realm and sustainable transport infrastructure; a site wide district heating network; new education space; and new local health facilities.</w:t>
      </w:r>
    </w:p>
    <w:p w14:paraId="1C9FB8F3" w14:textId="712DBEEB" w:rsidR="00786202" w:rsidRPr="00C3483E" w:rsidRDefault="5A0AC476" w:rsidP="1E60542B">
      <w:pPr>
        <w:spacing w:line="259" w:lineRule="auto"/>
        <w:ind w:left="360"/>
        <w:jc w:val="both"/>
        <w:rPr>
          <w:rFonts w:eastAsia="Arial" w:cs="Arial"/>
          <w:color w:val="000000" w:themeColor="text1"/>
          <w:sz w:val="22"/>
          <w:szCs w:val="22"/>
          <w:lang w:val="en-US"/>
        </w:rPr>
      </w:pPr>
      <w:r w:rsidRPr="1E60542B">
        <w:rPr>
          <w:rFonts w:eastAsia="Arial" w:cs="Arial"/>
          <w:color w:val="000000" w:themeColor="text1"/>
          <w:sz w:val="22"/>
          <w:szCs w:val="22"/>
        </w:rPr>
        <w:t xml:space="preserve"> </w:t>
      </w:r>
    </w:p>
    <w:p w14:paraId="59AC034B" w14:textId="279FE49B" w:rsidR="00786202" w:rsidRDefault="5A0AC476" w:rsidP="1E60542B">
      <w:pPr>
        <w:spacing w:line="259" w:lineRule="auto"/>
        <w:jc w:val="both"/>
        <w:rPr>
          <w:rFonts w:eastAsia="Arial" w:cs="Arial"/>
          <w:color w:val="000000" w:themeColor="text1"/>
          <w:sz w:val="22"/>
          <w:szCs w:val="22"/>
        </w:rPr>
      </w:pPr>
      <w:r w:rsidRPr="1E60542B">
        <w:rPr>
          <w:rFonts w:eastAsia="Arial" w:cs="Arial"/>
          <w:color w:val="000000" w:themeColor="text1"/>
          <w:sz w:val="22"/>
          <w:szCs w:val="22"/>
        </w:rPr>
        <w:t xml:space="preserve">The whole site is being brought forward by a public partnership of Homes England, Network Rail, Newcastle City Council and the Combined Authority, alongside individual </w:t>
      </w:r>
      <w:proofErr w:type="gramStart"/>
      <w:r w:rsidRPr="1E60542B">
        <w:rPr>
          <w:rFonts w:eastAsia="Arial" w:cs="Arial"/>
          <w:color w:val="000000" w:themeColor="text1"/>
          <w:sz w:val="22"/>
          <w:szCs w:val="22"/>
        </w:rPr>
        <w:t>developers</w:t>
      </w:r>
      <w:proofErr w:type="gramEnd"/>
      <w:r w:rsidRPr="1E60542B">
        <w:rPr>
          <w:rFonts w:eastAsia="Arial" w:cs="Arial"/>
          <w:color w:val="000000" w:themeColor="text1"/>
          <w:sz w:val="22"/>
          <w:szCs w:val="22"/>
        </w:rPr>
        <w:t xml:space="preserve"> or a development consortium at a later date. A Memorandum of Understanding between the public partners was signed in February 2023.</w:t>
      </w:r>
    </w:p>
    <w:p w14:paraId="0011830D" w14:textId="77777777" w:rsidR="00447F98" w:rsidRDefault="00447F98" w:rsidP="1E60542B">
      <w:pPr>
        <w:spacing w:line="259" w:lineRule="auto"/>
        <w:jc w:val="both"/>
        <w:rPr>
          <w:rFonts w:eastAsia="Arial" w:cs="Arial"/>
          <w:color w:val="000000" w:themeColor="text1"/>
          <w:sz w:val="22"/>
          <w:szCs w:val="22"/>
        </w:rPr>
      </w:pPr>
    </w:p>
    <w:p w14:paraId="5179821E" w14:textId="77777777" w:rsidR="00447F98" w:rsidRDefault="00447F98" w:rsidP="1E60542B">
      <w:pPr>
        <w:spacing w:line="259" w:lineRule="auto"/>
        <w:jc w:val="both"/>
        <w:rPr>
          <w:rFonts w:eastAsia="Arial" w:cs="Arial"/>
          <w:color w:val="000000" w:themeColor="text1"/>
          <w:sz w:val="22"/>
          <w:szCs w:val="22"/>
        </w:rPr>
      </w:pPr>
    </w:p>
    <w:p w14:paraId="30E6D750" w14:textId="77777777" w:rsidR="00447F98" w:rsidRPr="00C3483E" w:rsidRDefault="00447F98" w:rsidP="1E60542B">
      <w:pPr>
        <w:spacing w:line="259" w:lineRule="auto"/>
        <w:jc w:val="both"/>
        <w:rPr>
          <w:rFonts w:eastAsia="Arial" w:cs="Arial"/>
          <w:color w:val="000000" w:themeColor="text1"/>
          <w:sz w:val="22"/>
          <w:szCs w:val="22"/>
          <w:lang w:val="en-US"/>
        </w:rPr>
      </w:pPr>
    </w:p>
    <w:p w14:paraId="4FBAA25F" w14:textId="3BB4B9B5" w:rsidR="00786202" w:rsidRPr="00C3483E" w:rsidRDefault="00786202" w:rsidP="1E60542B">
      <w:pPr>
        <w:pStyle w:val="NoSpacing"/>
        <w:rPr>
          <w:rFonts w:cs="Arial"/>
          <w:sz w:val="22"/>
          <w:szCs w:val="22"/>
        </w:rPr>
      </w:pPr>
    </w:p>
    <w:p w14:paraId="5641A2DC" w14:textId="540CC0D1" w:rsidR="00695FF5" w:rsidRPr="00C3483E" w:rsidRDefault="00695FF5" w:rsidP="00D846FC">
      <w:pPr>
        <w:pStyle w:val="ListParagraph"/>
        <w:numPr>
          <w:ilvl w:val="0"/>
          <w:numId w:val="23"/>
        </w:numPr>
        <w:ind w:hanging="720"/>
        <w:rPr>
          <w:rFonts w:ascii="Arial" w:eastAsia="MS Mincho" w:hAnsi="Arial" w:cs="Arial"/>
          <w:b/>
          <w:bCs/>
          <w:lang w:eastAsia="ja-JP"/>
        </w:rPr>
      </w:pPr>
      <w:r w:rsidRPr="00C3483E">
        <w:rPr>
          <w:rFonts w:ascii="Arial" w:eastAsia="MS Mincho" w:hAnsi="Arial" w:cs="Arial"/>
          <w:b/>
          <w:bCs/>
          <w:lang w:eastAsia="ja-JP"/>
        </w:rPr>
        <w:lastRenderedPageBreak/>
        <w:t>Background Information, Proposals and Timetable for Implementation</w:t>
      </w:r>
    </w:p>
    <w:tbl>
      <w:tblPr>
        <w:tblStyle w:val="TableGrid1"/>
        <w:tblW w:w="10485" w:type="dxa"/>
        <w:tblLayout w:type="fixed"/>
        <w:tblLook w:val="04A0" w:firstRow="1" w:lastRow="0" w:firstColumn="1" w:lastColumn="0" w:noHBand="0" w:noVBand="1"/>
      </w:tblPr>
      <w:tblGrid>
        <w:gridCol w:w="3539"/>
        <w:gridCol w:w="6946"/>
      </w:tblGrid>
      <w:tr w:rsidR="00695FF5" w:rsidRPr="00695FF5" w14:paraId="08C7CD85" w14:textId="77777777" w:rsidTr="1A3DD75C">
        <w:trPr>
          <w:trHeight w:val="103"/>
        </w:trPr>
        <w:tc>
          <w:tcPr>
            <w:tcW w:w="3539" w:type="dxa"/>
          </w:tcPr>
          <w:p w14:paraId="209B624F" w14:textId="77777777" w:rsidR="00695FF5" w:rsidRPr="00695FF5" w:rsidRDefault="00695FF5" w:rsidP="00695FF5">
            <w:pPr>
              <w:autoSpaceDE w:val="0"/>
              <w:autoSpaceDN w:val="0"/>
              <w:adjustRightInd w:val="0"/>
              <w:rPr>
                <w:rFonts w:eastAsiaTheme="minorHAnsi" w:cs="Arial"/>
                <w:color w:val="000000"/>
                <w:sz w:val="22"/>
                <w:szCs w:val="22"/>
                <w:lang w:eastAsia="en-US"/>
              </w:rPr>
            </w:pPr>
            <w:r w:rsidRPr="00695FF5">
              <w:rPr>
                <w:rFonts w:eastAsiaTheme="minorHAnsi" w:cs="Arial"/>
                <w:b/>
                <w:bCs/>
                <w:color w:val="000000"/>
                <w:sz w:val="22"/>
                <w:szCs w:val="22"/>
                <w:lang w:eastAsia="en-US"/>
              </w:rPr>
              <w:t xml:space="preserve">Proposal Name </w:t>
            </w:r>
          </w:p>
        </w:tc>
        <w:tc>
          <w:tcPr>
            <w:tcW w:w="6946" w:type="dxa"/>
          </w:tcPr>
          <w:p w14:paraId="04173137" w14:textId="69E13B09" w:rsidR="00695FF5" w:rsidRPr="00695FF5" w:rsidRDefault="00F51D95" w:rsidP="00695FF5">
            <w:pPr>
              <w:autoSpaceDE w:val="0"/>
              <w:autoSpaceDN w:val="0"/>
              <w:adjustRightInd w:val="0"/>
              <w:rPr>
                <w:rFonts w:eastAsiaTheme="minorHAnsi" w:cs="Arial"/>
                <w:color w:val="000000"/>
                <w:sz w:val="22"/>
                <w:szCs w:val="22"/>
                <w:lang w:eastAsia="en-US"/>
              </w:rPr>
            </w:pPr>
            <w:r w:rsidRPr="00C3483E">
              <w:rPr>
                <w:rFonts w:eastAsiaTheme="minorHAnsi" w:cs="Arial"/>
                <w:color w:val="000000"/>
                <w:sz w:val="22"/>
                <w:szCs w:val="22"/>
                <w:lang w:eastAsia="en-US"/>
              </w:rPr>
              <w:t>Forth Yards enabling works</w:t>
            </w:r>
          </w:p>
        </w:tc>
      </w:tr>
      <w:tr w:rsidR="00695FF5" w:rsidRPr="00695FF5" w14:paraId="1C3954CB" w14:textId="77777777" w:rsidTr="1A3DD75C">
        <w:trPr>
          <w:trHeight w:val="103"/>
        </w:trPr>
        <w:tc>
          <w:tcPr>
            <w:tcW w:w="3539" w:type="dxa"/>
          </w:tcPr>
          <w:p w14:paraId="7424262E" w14:textId="77777777" w:rsidR="00695FF5" w:rsidRPr="00695FF5" w:rsidRDefault="00695FF5" w:rsidP="00695FF5">
            <w:pPr>
              <w:autoSpaceDE w:val="0"/>
              <w:autoSpaceDN w:val="0"/>
              <w:adjustRightInd w:val="0"/>
              <w:rPr>
                <w:rFonts w:eastAsiaTheme="minorHAnsi" w:cs="Arial"/>
                <w:color w:val="000000"/>
                <w:sz w:val="22"/>
                <w:szCs w:val="22"/>
                <w:lang w:eastAsia="en-US"/>
              </w:rPr>
            </w:pPr>
            <w:r w:rsidRPr="00695FF5">
              <w:rPr>
                <w:rFonts w:eastAsiaTheme="minorHAnsi" w:cs="Arial"/>
                <w:b/>
                <w:bCs/>
                <w:color w:val="000000"/>
                <w:sz w:val="22"/>
                <w:szCs w:val="22"/>
                <w:lang w:eastAsia="en-US"/>
              </w:rPr>
              <w:t xml:space="preserve">Lead Organisation </w:t>
            </w:r>
          </w:p>
        </w:tc>
        <w:tc>
          <w:tcPr>
            <w:tcW w:w="6946" w:type="dxa"/>
          </w:tcPr>
          <w:p w14:paraId="29D99BC3" w14:textId="55784224" w:rsidR="00695FF5" w:rsidRPr="00695FF5" w:rsidRDefault="00695FF5" w:rsidP="00695FF5">
            <w:pPr>
              <w:autoSpaceDE w:val="0"/>
              <w:autoSpaceDN w:val="0"/>
              <w:adjustRightInd w:val="0"/>
              <w:rPr>
                <w:rFonts w:eastAsiaTheme="minorHAnsi" w:cs="Arial"/>
                <w:color w:val="000000"/>
                <w:sz w:val="22"/>
                <w:szCs w:val="22"/>
                <w:lang w:eastAsia="en-US"/>
              </w:rPr>
            </w:pPr>
            <w:r w:rsidRPr="00695FF5">
              <w:rPr>
                <w:rFonts w:eastAsiaTheme="minorHAnsi" w:cs="Arial"/>
                <w:color w:val="000000"/>
                <w:sz w:val="22"/>
                <w:szCs w:val="22"/>
                <w:lang w:eastAsia="en-US"/>
              </w:rPr>
              <w:t>N</w:t>
            </w:r>
            <w:r w:rsidR="00F51D95" w:rsidRPr="00C3483E">
              <w:rPr>
                <w:rFonts w:eastAsiaTheme="minorHAnsi" w:cs="Arial"/>
                <w:color w:val="000000"/>
                <w:sz w:val="22"/>
                <w:szCs w:val="22"/>
                <w:lang w:eastAsia="en-US"/>
              </w:rPr>
              <w:t>ewcastle</w:t>
            </w:r>
            <w:r w:rsidRPr="00695FF5">
              <w:rPr>
                <w:rFonts w:eastAsiaTheme="minorHAnsi" w:cs="Arial"/>
                <w:color w:val="000000"/>
                <w:sz w:val="22"/>
                <w:szCs w:val="22"/>
                <w:lang w:eastAsia="en-US"/>
              </w:rPr>
              <w:t xml:space="preserve"> C</w:t>
            </w:r>
            <w:r w:rsidR="00F51D95" w:rsidRPr="00C3483E">
              <w:rPr>
                <w:rFonts w:eastAsiaTheme="minorHAnsi" w:cs="Arial"/>
                <w:color w:val="000000"/>
                <w:sz w:val="22"/>
                <w:szCs w:val="22"/>
                <w:lang w:eastAsia="en-US"/>
              </w:rPr>
              <w:t>i</w:t>
            </w:r>
            <w:r w:rsidRPr="00695FF5">
              <w:rPr>
                <w:rFonts w:eastAsiaTheme="minorHAnsi" w:cs="Arial"/>
                <w:color w:val="000000"/>
                <w:sz w:val="22"/>
                <w:szCs w:val="22"/>
                <w:lang w:eastAsia="en-US"/>
              </w:rPr>
              <w:t xml:space="preserve">ty Council </w:t>
            </w:r>
          </w:p>
        </w:tc>
      </w:tr>
      <w:tr w:rsidR="00695FF5" w:rsidRPr="00695FF5" w14:paraId="2AC03120" w14:textId="77777777" w:rsidTr="1A3DD75C">
        <w:trPr>
          <w:trHeight w:val="103"/>
        </w:trPr>
        <w:tc>
          <w:tcPr>
            <w:tcW w:w="3539" w:type="dxa"/>
          </w:tcPr>
          <w:p w14:paraId="5E76B820" w14:textId="77777777" w:rsidR="00695FF5" w:rsidRPr="00695FF5" w:rsidRDefault="00695FF5" w:rsidP="00695FF5">
            <w:pPr>
              <w:autoSpaceDE w:val="0"/>
              <w:autoSpaceDN w:val="0"/>
              <w:adjustRightInd w:val="0"/>
              <w:rPr>
                <w:rFonts w:eastAsiaTheme="minorHAnsi" w:cs="Arial"/>
                <w:color w:val="000000"/>
                <w:sz w:val="22"/>
                <w:szCs w:val="22"/>
                <w:lang w:eastAsia="en-US"/>
              </w:rPr>
            </w:pPr>
            <w:r w:rsidRPr="00695FF5">
              <w:rPr>
                <w:rFonts w:eastAsiaTheme="minorHAnsi" w:cs="Arial"/>
                <w:b/>
                <w:bCs/>
                <w:color w:val="000000"/>
                <w:sz w:val="22"/>
                <w:szCs w:val="22"/>
                <w:lang w:eastAsia="en-US"/>
              </w:rPr>
              <w:t xml:space="preserve">Delivery Areas </w:t>
            </w:r>
          </w:p>
        </w:tc>
        <w:tc>
          <w:tcPr>
            <w:tcW w:w="6946" w:type="dxa"/>
          </w:tcPr>
          <w:p w14:paraId="0B828F4D" w14:textId="3338DCEE" w:rsidR="00695FF5" w:rsidRPr="00695FF5" w:rsidRDefault="00F51D95" w:rsidP="00695FF5">
            <w:pPr>
              <w:autoSpaceDE w:val="0"/>
              <w:autoSpaceDN w:val="0"/>
              <w:adjustRightInd w:val="0"/>
              <w:rPr>
                <w:rFonts w:eastAsiaTheme="minorHAnsi" w:cs="Arial"/>
                <w:color w:val="000000"/>
                <w:sz w:val="22"/>
                <w:szCs w:val="22"/>
                <w:lang w:eastAsia="en-US"/>
              </w:rPr>
            </w:pPr>
            <w:r w:rsidRPr="00C3483E">
              <w:rPr>
                <w:rFonts w:eastAsiaTheme="minorHAnsi" w:cs="Arial"/>
                <w:color w:val="000000"/>
                <w:sz w:val="22"/>
                <w:szCs w:val="22"/>
                <w:lang w:eastAsia="en-US"/>
              </w:rPr>
              <w:t>West Central Newcastle</w:t>
            </w:r>
          </w:p>
        </w:tc>
      </w:tr>
      <w:tr w:rsidR="00695FF5" w:rsidRPr="00695FF5" w14:paraId="423FD7AC" w14:textId="77777777" w:rsidTr="1A3DD75C">
        <w:trPr>
          <w:trHeight w:val="103"/>
        </w:trPr>
        <w:tc>
          <w:tcPr>
            <w:tcW w:w="3539" w:type="dxa"/>
          </w:tcPr>
          <w:p w14:paraId="2A295C49" w14:textId="77777777" w:rsidR="00695FF5" w:rsidRPr="00695FF5" w:rsidRDefault="00695FF5" w:rsidP="00695FF5">
            <w:pPr>
              <w:autoSpaceDE w:val="0"/>
              <w:autoSpaceDN w:val="0"/>
              <w:adjustRightInd w:val="0"/>
              <w:rPr>
                <w:rFonts w:eastAsiaTheme="minorHAnsi" w:cs="Arial"/>
                <w:color w:val="000000"/>
                <w:sz w:val="22"/>
                <w:szCs w:val="22"/>
                <w:lang w:eastAsia="en-US"/>
              </w:rPr>
            </w:pPr>
            <w:r w:rsidRPr="00695FF5">
              <w:rPr>
                <w:rFonts w:eastAsiaTheme="minorHAnsi" w:cs="Arial"/>
                <w:b/>
                <w:bCs/>
                <w:color w:val="000000"/>
                <w:sz w:val="22"/>
                <w:szCs w:val="22"/>
                <w:lang w:eastAsia="en-US"/>
              </w:rPr>
              <w:t xml:space="preserve">Timescales </w:t>
            </w:r>
          </w:p>
        </w:tc>
        <w:tc>
          <w:tcPr>
            <w:tcW w:w="6946" w:type="dxa"/>
          </w:tcPr>
          <w:p w14:paraId="0FC63730" w14:textId="18435F0A" w:rsidR="00695FF5" w:rsidRPr="00695FF5" w:rsidRDefault="00F51D95" w:rsidP="00695FF5">
            <w:pPr>
              <w:autoSpaceDE w:val="0"/>
              <w:autoSpaceDN w:val="0"/>
              <w:adjustRightInd w:val="0"/>
              <w:rPr>
                <w:rFonts w:eastAsiaTheme="minorHAnsi" w:cs="Arial"/>
                <w:color w:val="000000"/>
                <w:sz w:val="22"/>
                <w:szCs w:val="22"/>
                <w:lang w:eastAsia="en-US"/>
              </w:rPr>
            </w:pPr>
            <w:r w:rsidRPr="00C3483E">
              <w:rPr>
                <w:rFonts w:eastAsiaTheme="minorHAnsi" w:cs="Arial"/>
                <w:color w:val="000000"/>
                <w:sz w:val="22"/>
                <w:szCs w:val="22"/>
                <w:lang w:eastAsia="en-US"/>
              </w:rPr>
              <w:t>June</w:t>
            </w:r>
            <w:r w:rsidR="00695FF5" w:rsidRPr="00695FF5">
              <w:rPr>
                <w:rFonts w:eastAsiaTheme="minorHAnsi" w:cs="Arial"/>
                <w:color w:val="000000"/>
                <w:sz w:val="22"/>
                <w:szCs w:val="22"/>
                <w:lang w:eastAsia="en-US"/>
              </w:rPr>
              <w:t xml:space="preserve"> 2024 – </w:t>
            </w:r>
            <w:r w:rsidRPr="00C3483E">
              <w:rPr>
                <w:rFonts w:eastAsiaTheme="minorHAnsi" w:cs="Arial"/>
                <w:color w:val="000000"/>
                <w:sz w:val="22"/>
                <w:szCs w:val="22"/>
                <w:lang w:eastAsia="en-US"/>
              </w:rPr>
              <w:t>June</w:t>
            </w:r>
            <w:r w:rsidR="00695FF5" w:rsidRPr="00695FF5">
              <w:rPr>
                <w:rFonts w:eastAsiaTheme="minorHAnsi" w:cs="Arial"/>
                <w:color w:val="000000"/>
                <w:sz w:val="22"/>
                <w:szCs w:val="22"/>
                <w:lang w:eastAsia="en-US"/>
              </w:rPr>
              <w:t xml:space="preserve"> 202</w:t>
            </w:r>
            <w:r w:rsidRPr="00C3483E">
              <w:rPr>
                <w:rFonts w:eastAsiaTheme="minorHAnsi" w:cs="Arial"/>
                <w:color w:val="000000"/>
                <w:sz w:val="22"/>
                <w:szCs w:val="22"/>
                <w:lang w:eastAsia="en-US"/>
              </w:rPr>
              <w:t>5</w:t>
            </w:r>
          </w:p>
        </w:tc>
      </w:tr>
      <w:tr w:rsidR="00695FF5" w:rsidRPr="00695FF5" w14:paraId="236EF4DE" w14:textId="77777777" w:rsidTr="1A3DD75C">
        <w:trPr>
          <w:trHeight w:val="103"/>
        </w:trPr>
        <w:tc>
          <w:tcPr>
            <w:tcW w:w="3539" w:type="dxa"/>
          </w:tcPr>
          <w:p w14:paraId="2641B3E8" w14:textId="77777777" w:rsidR="00695FF5" w:rsidRPr="00695FF5" w:rsidRDefault="00695FF5" w:rsidP="00695FF5">
            <w:pPr>
              <w:autoSpaceDE w:val="0"/>
              <w:autoSpaceDN w:val="0"/>
              <w:adjustRightInd w:val="0"/>
              <w:rPr>
                <w:rFonts w:eastAsiaTheme="minorHAnsi" w:cs="Arial"/>
                <w:color w:val="000000"/>
                <w:sz w:val="22"/>
                <w:szCs w:val="22"/>
                <w:lang w:eastAsia="en-US"/>
              </w:rPr>
            </w:pPr>
            <w:r w:rsidRPr="00695FF5">
              <w:rPr>
                <w:rFonts w:eastAsiaTheme="minorHAnsi" w:cs="Arial"/>
                <w:b/>
                <w:bCs/>
                <w:color w:val="000000"/>
                <w:sz w:val="22"/>
                <w:szCs w:val="22"/>
                <w:lang w:eastAsia="en-US"/>
              </w:rPr>
              <w:t xml:space="preserve">Project Value </w:t>
            </w:r>
          </w:p>
        </w:tc>
        <w:tc>
          <w:tcPr>
            <w:tcW w:w="6946" w:type="dxa"/>
          </w:tcPr>
          <w:p w14:paraId="419F9DA1" w14:textId="5408C04A" w:rsidR="00695FF5" w:rsidRPr="00695FF5" w:rsidRDefault="00695FF5" w:rsidP="00695FF5">
            <w:pPr>
              <w:autoSpaceDE w:val="0"/>
              <w:autoSpaceDN w:val="0"/>
              <w:adjustRightInd w:val="0"/>
              <w:rPr>
                <w:rFonts w:eastAsiaTheme="minorHAnsi" w:cs="Arial"/>
                <w:color w:val="000000"/>
                <w:sz w:val="22"/>
                <w:szCs w:val="22"/>
                <w:lang w:eastAsia="en-US"/>
              </w:rPr>
            </w:pPr>
            <w:r w:rsidRPr="00695FF5">
              <w:rPr>
                <w:rFonts w:eastAsiaTheme="minorHAnsi" w:cs="Arial"/>
                <w:color w:val="000000"/>
                <w:sz w:val="22"/>
                <w:szCs w:val="22"/>
                <w:lang w:eastAsia="en-US"/>
              </w:rPr>
              <w:t>£</w:t>
            </w:r>
            <w:r w:rsidR="004D2CD0" w:rsidRPr="00C3483E">
              <w:rPr>
                <w:rFonts w:eastAsiaTheme="minorHAnsi" w:cs="Arial"/>
                <w:color w:val="000000"/>
                <w:sz w:val="22"/>
                <w:szCs w:val="22"/>
                <w:lang w:eastAsia="en-US"/>
              </w:rPr>
              <w:t>4,999,063</w:t>
            </w:r>
            <w:r w:rsidRPr="00695FF5">
              <w:rPr>
                <w:rFonts w:eastAsiaTheme="minorHAnsi" w:cs="Arial"/>
                <w:color w:val="000000"/>
                <w:sz w:val="22"/>
                <w:szCs w:val="22"/>
                <w:lang w:eastAsia="en-US"/>
              </w:rPr>
              <w:t xml:space="preserve"> </w:t>
            </w:r>
          </w:p>
        </w:tc>
      </w:tr>
      <w:tr w:rsidR="00695FF5" w:rsidRPr="00695FF5" w14:paraId="73A5751B" w14:textId="77777777" w:rsidTr="1A3DD75C">
        <w:trPr>
          <w:trHeight w:val="229"/>
        </w:trPr>
        <w:tc>
          <w:tcPr>
            <w:tcW w:w="3539" w:type="dxa"/>
          </w:tcPr>
          <w:p w14:paraId="72B4B825" w14:textId="77777777" w:rsidR="00695FF5" w:rsidRPr="00695FF5" w:rsidRDefault="00695FF5" w:rsidP="00695FF5">
            <w:pPr>
              <w:autoSpaceDE w:val="0"/>
              <w:autoSpaceDN w:val="0"/>
              <w:adjustRightInd w:val="0"/>
              <w:rPr>
                <w:rFonts w:eastAsiaTheme="minorHAnsi" w:cs="Arial"/>
                <w:color w:val="000000"/>
                <w:sz w:val="22"/>
                <w:szCs w:val="22"/>
                <w:lang w:eastAsia="en-US"/>
              </w:rPr>
            </w:pPr>
            <w:r w:rsidRPr="00695FF5">
              <w:rPr>
                <w:rFonts w:eastAsiaTheme="minorHAnsi" w:cs="Arial"/>
                <w:b/>
                <w:bCs/>
                <w:color w:val="000000"/>
                <w:sz w:val="22"/>
                <w:szCs w:val="22"/>
                <w:lang w:eastAsia="en-US"/>
              </w:rPr>
              <w:t xml:space="preserve">Grant amount requested </w:t>
            </w:r>
          </w:p>
        </w:tc>
        <w:tc>
          <w:tcPr>
            <w:tcW w:w="6946" w:type="dxa"/>
          </w:tcPr>
          <w:p w14:paraId="1A0958EE" w14:textId="2301C4BE" w:rsidR="00695FF5" w:rsidRPr="00695FF5" w:rsidRDefault="00695FF5" w:rsidP="00695FF5">
            <w:pPr>
              <w:autoSpaceDE w:val="0"/>
              <w:autoSpaceDN w:val="0"/>
              <w:adjustRightInd w:val="0"/>
              <w:rPr>
                <w:rFonts w:eastAsiaTheme="minorHAnsi" w:cs="Arial"/>
                <w:color w:val="000000"/>
                <w:sz w:val="22"/>
                <w:szCs w:val="22"/>
                <w:lang w:eastAsia="en-US"/>
              </w:rPr>
            </w:pPr>
            <w:r w:rsidRPr="00695FF5">
              <w:rPr>
                <w:rFonts w:eastAsiaTheme="minorHAnsi" w:cs="Arial"/>
                <w:color w:val="000000"/>
                <w:sz w:val="22"/>
                <w:szCs w:val="22"/>
                <w:lang w:eastAsia="en-US"/>
              </w:rPr>
              <w:t>£</w:t>
            </w:r>
            <w:r w:rsidR="004D2CD0" w:rsidRPr="00C3483E">
              <w:rPr>
                <w:rFonts w:eastAsiaTheme="minorHAnsi" w:cs="Arial"/>
                <w:color w:val="000000"/>
                <w:sz w:val="22"/>
                <w:szCs w:val="22"/>
                <w:lang w:eastAsia="en-US"/>
              </w:rPr>
              <w:t>4,999,063</w:t>
            </w:r>
          </w:p>
        </w:tc>
      </w:tr>
      <w:tr w:rsidR="00695FF5" w:rsidRPr="00695FF5" w14:paraId="34637D61" w14:textId="77777777" w:rsidTr="1A3DD75C">
        <w:trPr>
          <w:trHeight w:val="355"/>
        </w:trPr>
        <w:tc>
          <w:tcPr>
            <w:tcW w:w="3539" w:type="dxa"/>
          </w:tcPr>
          <w:p w14:paraId="2D8A7410" w14:textId="77777777" w:rsidR="00695FF5" w:rsidRPr="00695FF5" w:rsidRDefault="00695FF5" w:rsidP="00695FF5">
            <w:pPr>
              <w:autoSpaceDE w:val="0"/>
              <w:autoSpaceDN w:val="0"/>
              <w:adjustRightInd w:val="0"/>
              <w:rPr>
                <w:rFonts w:eastAsiaTheme="minorHAnsi" w:cs="Arial"/>
                <w:color w:val="000000"/>
                <w:sz w:val="22"/>
                <w:szCs w:val="22"/>
                <w:lang w:eastAsia="en-US"/>
              </w:rPr>
            </w:pPr>
            <w:r w:rsidRPr="00695FF5">
              <w:rPr>
                <w:rFonts w:eastAsiaTheme="minorHAnsi" w:cs="Arial"/>
                <w:b/>
                <w:bCs/>
                <w:color w:val="000000"/>
                <w:sz w:val="22"/>
                <w:szCs w:val="22"/>
                <w:lang w:eastAsia="en-US"/>
              </w:rPr>
              <w:t xml:space="preserve">NTCA Budget Implications: </w:t>
            </w:r>
          </w:p>
        </w:tc>
        <w:tc>
          <w:tcPr>
            <w:tcW w:w="6946" w:type="dxa"/>
          </w:tcPr>
          <w:p w14:paraId="339348FA" w14:textId="523831BA" w:rsidR="00695FF5" w:rsidRPr="00695FF5" w:rsidRDefault="00695FF5" w:rsidP="1A3DD75C">
            <w:pPr>
              <w:autoSpaceDE w:val="0"/>
              <w:autoSpaceDN w:val="0"/>
              <w:adjustRightInd w:val="0"/>
              <w:rPr>
                <w:rFonts w:eastAsiaTheme="minorEastAsia" w:cs="Arial"/>
                <w:color w:val="000000"/>
                <w:sz w:val="22"/>
                <w:szCs w:val="22"/>
                <w:lang w:eastAsia="en-US"/>
              </w:rPr>
            </w:pPr>
            <w:proofErr w:type="gramStart"/>
            <w:r w:rsidRPr="1A3DD75C">
              <w:rPr>
                <w:rFonts w:eastAsiaTheme="minorEastAsia" w:cs="Arial"/>
                <w:color w:val="000000" w:themeColor="text1"/>
                <w:sz w:val="22"/>
                <w:szCs w:val="22"/>
                <w:lang w:eastAsia="en-US"/>
              </w:rPr>
              <w:t>N</w:t>
            </w:r>
            <w:r w:rsidR="2E766697" w:rsidRPr="1A3DD75C">
              <w:rPr>
                <w:rFonts w:eastAsiaTheme="minorEastAsia" w:cs="Arial"/>
                <w:color w:val="000000" w:themeColor="text1"/>
                <w:sz w:val="22"/>
                <w:szCs w:val="22"/>
                <w:lang w:eastAsia="en-US"/>
              </w:rPr>
              <w:t>orth East</w:t>
            </w:r>
            <w:proofErr w:type="gramEnd"/>
            <w:r w:rsidR="2E766697" w:rsidRPr="1A3DD75C">
              <w:rPr>
                <w:rFonts w:eastAsiaTheme="minorEastAsia" w:cs="Arial"/>
                <w:color w:val="000000" w:themeColor="text1"/>
                <w:sz w:val="22"/>
                <w:szCs w:val="22"/>
                <w:lang w:eastAsia="en-US"/>
              </w:rPr>
              <w:t xml:space="preserve"> CA </w:t>
            </w:r>
            <w:r w:rsidRPr="1A3DD75C">
              <w:rPr>
                <w:rFonts w:eastAsiaTheme="minorEastAsia" w:cs="Arial"/>
                <w:color w:val="000000" w:themeColor="text1"/>
                <w:sz w:val="22"/>
                <w:szCs w:val="22"/>
                <w:lang w:eastAsia="en-US"/>
              </w:rPr>
              <w:t>have agreed a £</w:t>
            </w:r>
            <w:r w:rsidR="00F51D95" w:rsidRPr="1A3DD75C">
              <w:rPr>
                <w:rFonts w:eastAsiaTheme="minorEastAsia" w:cs="Arial"/>
                <w:color w:val="000000" w:themeColor="text1"/>
                <w:sz w:val="22"/>
                <w:szCs w:val="22"/>
                <w:lang w:eastAsia="en-US"/>
              </w:rPr>
              <w:t>5</w:t>
            </w:r>
            <w:r w:rsidRPr="1A3DD75C">
              <w:rPr>
                <w:rFonts w:eastAsiaTheme="minorEastAsia" w:cs="Arial"/>
                <w:color w:val="000000" w:themeColor="text1"/>
                <w:sz w:val="22"/>
                <w:szCs w:val="22"/>
                <w:lang w:eastAsia="en-US"/>
              </w:rPr>
              <w:t xml:space="preserve">m </w:t>
            </w:r>
            <w:r w:rsidR="00F51D95" w:rsidRPr="1A3DD75C">
              <w:rPr>
                <w:rFonts w:eastAsiaTheme="minorEastAsia" w:cs="Arial"/>
                <w:color w:val="000000" w:themeColor="text1"/>
                <w:sz w:val="22"/>
                <w:szCs w:val="22"/>
                <w:lang w:eastAsia="en-US"/>
              </w:rPr>
              <w:t>Trailblazer</w:t>
            </w:r>
            <w:r w:rsidRPr="1A3DD75C">
              <w:rPr>
                <w:rFonts w:eastAsiaTheme="minorEastAsia" w:cs="Arial"/>
                <w:color w:val="000000" w:themeColor="text1"/>
                <w:sz w:val="22"/>
                <w:szCs w:val="22"/>
                <w:lang w:eastAsia="en-US"/>
              </w:rPr>
              <w:t xml:space="preserve"> Fund capital allocation</w:t>
            </w:r>
            <w:r w:rsidR="1B54AA32" w:rsidRPr="1A3DD75C">
              <w:rPr>
                <w:rFonts w:eastAsiaTheme="minorEastAsia" w:cs="Arial"/>
                <w:color w:val="000000" w:themeColor="text1"/>
                <w:sz w:val="22"/>
                <w:szCs w:val="22"/>
                <w:lang w:eastAsia="en-US"/>
              </w:rPr>
              <w:t xml:space="preserve"> at Cabinet on June 11</w:t>
            </w:r>
            <w:r w:rsidR="1B54AA32" w:rsidRPr="1A3DD75C">
              <w:rPr>
                <w:rFonts w:eastAsiaTheme="minorEastAsia" w:cs="Arial"/>
                <w:color w:val="000000" w:themeColor="text1"/>
                <w:sz w:val="22"/>
                <w:szCs w:val="22"/>
                <w:vertAlign w:val="superscript"/>
                <w:lang w:eastAsia="en-US"/>
              </w:rPr>
              <w:t>th</w:t>
            </w:r>
            <w:r w:rsidR="1B54AA32" w:rsidRPr="1A3DD75C">
              <w:rPr>
                <w:rFonts w:eastAsiaTheme="minorEastAsia" w:cs="Arial"/>
                <w:color w:val="000000" w:themeColor="text1"/>
                <w:sz w:val="22"/>
                <w:szCs w:val="22"/>
                <w:lang w:eastAsia="en-US"/>
              </w:rPr>
              <w:t xml:space="preserve"> 2024</w:t>
            </w:r>
            <w:r w:rsidR="008E30E7" w:rsidRPr="1A3DD75C">
              <w:rPr>
                <w:rFonts w:eastAsiaTheme="minorEastAsia" w:cs="Arial"/>
                <w:color w:val="000000" w:themeColor="text1"/>
                <w:sz w:val="22"/>
                <w:szCs w:val="22"/>
                <w:lang w:eastAsia="en-US"/>
              </w:rPr>
              <w:t>, consistent with th</w:t>
            </w:r>
            <w:r w:rsidR="77EEA35C" w:rsidRPr="1A3DD75C">
              <w:rPr>
                <w:rFonts w:eastAsiaTheme="minorEastAsia" w:cs="Arial"/>
                <w:color w:val="000000" w:themeColor="text1"/>
                <w:sz w:val="22"/>
                <w:szCs w:val="22"/>
                <w:lang w:eastAsia="en-US"/>
              </w:rPr>
              <w:t>e N</w:t>
            </w:r>
            <w:r w:rsidR="00501674">
              <w:rPr>
                <w:rFonts w:eastAsiaTheme="minorEastAsia" w:cs="Arial"/>
                <w:color w:val="000000" w:themeColor="text1"/>
                <w:sz w:val="22"/>
                <w:szCs w:val="22"/>
                <w:lang w:eastAsia="en-US"/>
              </w:rPr>
              <w:t>orth East</w:t>
            </w:r>
            <w:r w:rsidR="77EEA35C" w:rsidRPr="1A3DD75C">
              <w:rPr>
                <w:rFonts w:eastAsiaTheme="minorEastAsia" w:cs="Arial"/>
                <w:color w:val="000000" w:themeColor="text1"/>
                <w:sz w:val="22"/>
                <w:szCs w:val="22"/>
                <w:lang w:eastAsia="en-US"/>
              </w:rPr>
              <w:t xml:space="preserve"> </w:t>
            </w:r>
            <w:r w:rsidR="00501674">
              <w:rPr>
                <w:rFonts w:eastAsiaTheme="minorEastAsia" w:cs="Arial"/>
                <w:color w:val="000000" w:themeColor="text1"/>
                <w:sz w:val="22"/>
                <w:szCs w:val="22"/>
                <w:lang w:eastAsia="en-US"/>
              </w:rPr>
              <w:t>CA’s</w:t>
            </w:r>
            <w:r w:rsidR="77EEA35C" w:rsidRPr="1A3DD75C">
              <w:rPr>
                <w:rFonts w:eastAsiaTheme="minorEastAsia" w:cs="Arial"/>
                <w:color w:val="000000" w:themeColor="text1"/>
                <w:sz w:val="22"/>
                <w:szCs w:val="22"/>
                <w:lang w:eastAsia="en-US"/>
              </w:rPr>
              <w:t xml:space="preserve"> devolution deal.</w:t>
            </w:r>
          </w:p>
        </w:tc>
      </w:tr>
    </w:tbl>
    <w:p w14:paraId="3CFBFFFA" w14:textId="77777777" w:rsidR="00786202" w:rsidRPr="00C3483E" w:rsidRDefault="00786202" w:rsidP="00786202">
      <w:pPr>
        <w:pStyle w:val="NoSpacing"/>
        <w:rPr>
          <w:rFonts w:cs="Arial"/>
          <w:sz w:val="22"/>
          <w:szCs w:val="22"/>
        </w:rPr>
      </w:pPr>
    </w:p>
    <w:p w14:paraId="2A97E9D8" w14:textId="270A23BD" w:rsidR="00786202" w:rsidRPr="00C3483E" w:rsidRDefault="00B56094" w:rsidP="004B5683">
      <w:pPr>
        <w:pStyle w:val="NoSpacing"/>
        <w:numPr>
          <w:ilvl w:val="1"/>
          <w:numId w:val="20"/>
        </w:numPr>
        <w:ind w:left="567" w:hanging="567"/>
        <w:rPr>
          <w:rFonts w:cs="Arial"/>
          <w:sz w:val="22"/>
          <w:szCs w:val="22"/>
        </w:rPr>
      </w:pPr>
      <w:r w:rsidRPr="00C3483E">
        <w:rPr>
          <w:rFonts w:cs="Arial"/>
          <w:sz w:val="22"/>
          <w:szCs w:val="22"/>
        </w:rPr>
        <w:t>Timetable:</w:t>
      </w:r>
    </w:p>
    <w:p w14:paraId="66F2B8F5" w14:textId="77777777" w:rsidR="00B56094" w:rsidRPr="00C3483E" w:rsidRDefault="00B56094" w:rsidP="00B56094">
      <w:pPr>
        <w:pStyle w:val="NoSpacing"/>
        <w:rPr>
          <w:rFonts w:cs="Arial"/>
          <w:b/>
          <w:bCs/>
          <w:sz w:val="22"/>
          <w:szCs w:val="22"/>
        </w:rPr>
      </w:pPr>
    </w:p>
    <w:tbl>
      <w:tblPr>
        <w:tblStyle w:val="TableGrid"/>
        <w:tblW w:w="10467" w:type="dxa"/>
        <w:tblBorders>
          <w:top w:val="single" w:sz="18" w:space="0" w:color="467883"/>
          <w:left w:val="single" w:sz="18" w:space="0" w:color="467883"/>
          <w:bottom w:val="single" w:sz="18" w:space="0" w:color="467883"/>
          <w:right w:val="single" w:sz="18" w:space="0" w:color="467883"/>
          <w:insideH w:val="single" w:sz="18" w:space="0" w:color="467883"/>
          <w:insideV w:val="single" w:sz="18" w:space="0" w:color="467883"/>
        </w:tblBorders>
        <w:tblLook w:val="04A0" w:firstRow="1" w:lastRow="0" w:firstColumn="1" w:lastColumn="0" w:noHBand="0" w:noVBand="1"/>
      </w:tblPr>
      <w:tblGrid>
        <w:gridCol w:w="3379"/>
        <w:gridCol w:w="7088"/>
      </w:tblGrid>
      <w:tr w:rsidR="00B56094" w:rsidRPr="00B56094" w14:paraId="336DC4CC" w14:textId="77777777" w:rsidTr="00A64183">
        <w:tc>
          <w:tcPr>
            <w:tcW w:w="3379" w:type="dxa"/>
            <w:shd w:val="clear" w:color="auto" w:fill="BBD5D1"/>
          </w:tcPr>
          <w:p w14:paraId="19B7C75A" w14:textId="77777777" w:rsidR="00B56094" w:rsidRPr="00A64183" w:rsidRDefault="00B56094" w:rsidP="00B56094">
            <w:pPr>
              <w:pStyle w:val="NoSpacing"/>
              <w:rPr>
                <w:rFonts w:cs="Arial"/>
                <w:sz w:val="22"/>
                <w:szCs w:val="22"/>
              </w:rPr>
            </w:pPr>
            <w:r w:rsidRPr="00A64183">
              <w:rPr>
                <w:rFonts w:cs="Arial"/>
                <w:sz w:val="22"/>
                <w:szCs w:val="22"/>
              </w:rPr>
              <w:t>Start Date</w:t>
            </w:r>
          </w:p>
        </w:tc>
        <w:tc>
          <w:tcPr>
            <w:tcW w:w="7088" w:type="dxa"/>
            <w:shd w:val="clear" w:color="auto" w:fill="auto"/>
          </w:tcPr>
          <w:p w14:paraId="3A679938" w14:textId="5D357B9E" w:rsidR="00B56094" w:rsidRPr="00A64183" w:rsidRDefault="00B56094" w:rsidP="00B56094">
            <w:pPr>
              <w:pStyle w:val="NoSpacing"/>
              <w:rPr>
                <w:rFonts w:cs="Arial"/>
                <w:sz w:val="22"/>
                <w:szCs w:val="22"/>
              </w:rPr>
            </w:pPr>
            <w:r w:rsidRPr="00A64183">
              <w:rPr>
                <w:rFonts w:cs="Arial"/>
                <w:sz w:val="22"/>
                <w:szCs w:val="22"/>
              </w:rPr>
              <w:t>J</w:t>
            </w:r>
            <w:r w:rsidR="5AC2C920" w:rsidRPr="00A64183">
              <w:rPr>
                <w:rFonts w:cs="Arial"/>
                <w:sz w:val="22"/>
                <w:szCs w:val="22"/>
              </w:rPr>
              <w:t>une 2024</w:t>
            </w:r>
          </w:p>
        </w:tc>
      </w:tr>
      <w:tr w:rsidR="00B56094" w:rsidRPr="00B56094" w14:paraId="6ECFEC96" w14:textId="77777777" w:rsidTr="00A64183">
        <w:tc>
          <w:tcPr>
            <w:tcW w:w="3379" w:type="dxa"/>
            <w:shd w:val="clear" w:color="auto" w:fill="BBD5D1"/>
          </w:tcPr>
          <w:p w14:paraId="15239C94" w14:textId="77777777" w:rsidR="00B56094" w:rsidRPr="00A64183" w:rsidRDefault="00B56094" w:rsidP="00B56094">
            <w:pPr>
              <w:pStyle w:val="NoSpacing"/>
              <w:rPr>
                <w:rFonts w:cs="Arial"/>
                <w:sz w:val="22"/>
                <w:szCs w:val="22"/>
              </w:rPr>
            </w:pPr>
            <w:r w:rsidRPr="00A64183">
              <w:rPr>
                <w:rFonts w:cs="Arial"/>
                <w:sz w:val="22"/>
                <w:szCs w:val="22"/>
              </w:rPr>
              <w:t xml:space="preserve">Financial Completion </w:t>
            </w:r>
          </w:p>
        </w:tc>
        <w:tc>
          <w:tcPr>
            <w:tcW w:w="7088" w:type="dxa"/>
            <w:shd w:val="clear" w:color="auto" w:fill="auto"/>
          </w:tcPr>
          <w:p w14:paraId="123AA4C6" w14:textId="0742045F" w:rsidR="00B56094" w:rsidRPr="00A64183" w:rsidRDefault="00B56094" w:rsidP="00B56094">
            <w:pPr>
              <w:pStyle w:val="NoSpacing"/>
              <w:rPr>
                <w:rFonts w:cs="Arial"/>
                <w:sz w:val="22"/>
                <w:szCs w:val="22"/>
              </w:rPr>
            </w:pPr>
            <w:r w:rsidRPr="00A64183">
              <w:rPr>
                <w:rFonts w:cs="Arial"/>
                <w:sz w:val="22"/>
                <w:szCs w:val="22"/>
              </w:rPr>
              <w:t>January 2025 - Date by which the widening and the pieces of Highline feasibility can be fully contracted and payment made</w:t>
            </w:r>
          </w:p>
        </w:tc>
      </w:tr>
      <w:tr w:rsidR="00B56094" w:rsidRPr="00B56094" w14:paraId="49009A0D" w14:textId="77777777" w:rsidTr="00A64183">
        <w:tc>
          <w:tcPr>
            <w:tcW w:w="3379" w:type="dxa"/>
            <w:shd w:val="clear" w:color="auto" w:fill="BBD5D1"/>
          </w:tcPr>
          <w:p w14:paraId="39B41A39" w14:textId="77777777" w:rsidR="00B56094" w:rsidRPr="00A64183" w:rsidRDefault="00B56094" w:rsidP="00B56094">
            <w:pPr>
              <w:pStyle w:val="NoSpacing"/>
              <w:rPr>
                <w:rFonts w:cs="Arial"/>
                <w:sz w:val="22"/>
                <w:szCs w:val="22"/>
              </w:rPr>
            </w:pPr>
            <w:r w:rsidRPr="00A64183">
              <w:rPr>
                <w:rFonts w:cs="Arial"/>
                <w:sz w:val="22"/>
                <w:szCs w:val="22"/>
              </w:rPr>
              <w:t xml:space="preserve">Date by which all outputs and outcomes will be achieved </w:t>
            </w:r>
          </w:p>
        </w:tc>
        <w:tc>
          <w:tcPr>
            <w:tcW w:w="7088" w:type="dxa"/>
            <w:shd w:val="clear" w:color="auto" w:fill="auto"/>
          </w:tcPr>
          <w:p w14:paraId="4D5ECD8E" w14:textId="7E7D4698" w:rsidR="00B56094" w:rsidRPr="00A64183" w:rsidRDefault="00B56094" w:rsidP="00B56094">
            <w:pPr>
              <w:pStyle w:val="NoSpacing"/>
              <w:rPr>
                <w:rFonts w:cs="Arial"/>
                <w:sz w:val="22"/>
                <w:szCs w:val="22"/>
              </w:rPr>
            </w:pPr>
            <w:r w:rsidRPr="00A64183">
              <w:rPr>
                <w:rFonts w:cs="Arial"/>
                <w:sz w:val="22"/>
                <w:szCs w:val="22"/>
              </w:rPr>
              <w:t>October 2025 - Date of full and final completion of the road widening and Highline investigation work.</w:t>
            </w:r>
          </w:p>
        </w:tc>
      </w:tr>
    </w:tbl>
    <w:p w14:paraId="4FEB7505" w14:textId="7A370BCA" w:rsidR="00363F19" w:rsidRPr="00C3483E" w:rsidRDefault="00363F19" w:rsidP="00786202">
      <w:pPr>
        <w:pStyle w:val="NoSpacing"/>
        <w:rPr>
          <w:rFonts w:cs="Arial"/>
          <w:b/>
          <w:bCs/>
          <w:sz w:val="22"/>
          <w:szCs w:val="22"/>
        </w:rPr>
      </w:pPr>
    </w:p>
    <w:p w14:paraId="421D7737" w14:textId="50ABAF89" w:rsidR="00A71FC9" w:rsidRDefault="00363F19" w:rsidP="004B5683">
      <w:pPr>
        <w:pStyle w:val="NoSpacing"/>
        <w:numPr>
          <w:ilvl w:val="1"/>
          <w:numId w:val="20"/>
        </w:numPr>
        <w:ind w:left="567" w:hanging="567"/>
        <w:rPr>
          <w:rFonts w:cs="Arial"/>
          <w:sz w:val="22"/>
          <w:szCs w:val="22"/>
        </w:rPr>
      </w:pPr>
      <w:r w:rsidRPr="00363F19">
        <w:rPr>
          <w:rFonts w:cs="Arial"/>
          <w:sz w:val="22"/>
          <w:szCs w:val="22"/>
        </w:rPr>
        <w:t>Project delivery summary:</w:t>
      </w:r>
    </w:p>
    <w:p w14:paraId="5CC216F2" w14:textId="77777777" w:rsidR="00363F19" w:rsidRDefault="00363F19" w:rsidP="00447F98">
      <w:pPr>
        <w:jc w:val="both"/>
        <w:rPr>
          <w:rFonts w:eastAsia="Arial" w:cs="Arial"/>
          <w:sz w:val="22"/>
          <w:szCs w:val="22"/>
        </w:rPr>
      </w:pPr>
    </w:p>
    <w:p w14:paraId="442AF4E5" w14:textId="186B0596" w:rsidR="00363F19" w:rsidRPr="00C3483E" w:rsidRDefault="00363F19" w:rsidP="004B5683">
      <w:pPr>
        <w:ind w:left="567"/>
        <w:jc w:val="both"/>
        <w:rPr>
          <w:rFonts w:eastAsia="Arial" w:cs="Arial"/>
          <w:sz w:val="22"/>
          <w:szCs w:val="22"/>
        </w:rPr>
      </w:pPr>
      <w:r w:rsidRPr="00C3483E">
        <w:rPr>
          <w:rFonts w:eastAsia="Arial" w:cs="Arial"/>
          <w:sz w:val="22"/>
          <w:szCs w:val="22"/>
        </w:rPr>
        <w:t xml:space="preserve">Forth Yards represents a once in a generation strategic placemaking opportunity on what is the last major area of underdeveloped water frontage in Newcastle and one of the region’s most challenging brownfield sites. The city is the strategic hub to the region and this site, within </w:t>
      </w:r>
      <w:proofErr w:type="gramStart"/>
      <w:r w:rsidRPr="00C3483E">
        <w:rPr>
          <w:rFonts w:eastAsia="Arial" w:cs="Arial"/>
          <w:sz w:val="22"/>
          <w:szCs w:val="22"/>
        </w:rPr>
        <w:t>close proximity</w:t>
      </w:r>
      <w:proofErr w:type="gramEnd"/>
      <w:r w:rsidRPr="00C3483E">
        <w:rPr>
          <w:rFonts w:eastAsia="Arial" w:cs="Arial"/>
          <w:sz w:val="22"/>
          <w:szCs w:val="22"/>
        </w:rPr>
        <w:t xml:space="preserve"> to Newcastle Central Station, represents a western gateway into the city centre and the communities in the inner west. </w:t>
      </w:r>
    </w:p>
    <w:p w14:paraId="3F01DD7E" w14:textId="77777777" w:rsidR="00363F19" w:rsidRPr="00C3483E" w:rsidRDefault="00363F19" w:rsidP="004B5683">
      <w:pPr>
        <w:ind w:left="567"/>
        <w:jc w:val="both"/>
        <w:rPr>
          <w:rFonts w:eastAsia="Arial" w:cs="Arial"/>
          <w:sz w:val="22"/>
          <w:szCs w:val="22"/>
        </w:rPr>
      </w:pPr>
    </w:p>
    <w:p w14:paraId="459AFE9E" w14:textId="3530E6F5" w:rsidR="00363F19" w:rsidRPr="00C3483E" w:rsidRDefault="00363F19" w:rsidP="004B5683">
      <w:pPr>
        <w:ind w:left="567"/>
        <w:jc w:val="both"/>
        <w:rPr>
          <w:rFonts w:eastAsia="Arial" w:cs="Arial"/>
          <w:sz w:val="22"/>
          <w:szCs w:val="22"/>
        </w:rPr>
      </w:pPr>
      <w:r w:rsidRPr="1E60542B">
        <w:rPr>
          <w:rFonts w:eastAsia="Arial" w:cs="Arial"/>
          <w:sz w:val="22"/>
          <w:szCs w:val="22"/>
        </w:rPr>
        <w:t xml:space="preserve">The regeneration area comprises 21 hectares and has capacity for circa </w:t>
      </w:r>
      <w:r w:rsidR="03B0525F" w:rsidRPr="1E60542B">
        <w:rPr>
          <w:rFonts w:eastAsia="Arial" w:cs="Arial"/>
          <w:sz w:val="22"/>
          <w:szCs w:val="22"/>
        </w:rPr>
        <w:t>3,500</w:t>
      </w:r>
      <w:r w:rsidRPr="1E60542B">
        <w:rPr>
          <w:rFonts w:eastAsia="Arial" w:cs="Arial"/>
          <w:sz w:val="22"/>
          <w:szCs w:val="22"/>
        </w:rPr>
        <w:t xml:space="preserve"> homes, commercial </w:t>
      </w:r>
      <w:proofErr w:type="gramStart"/>
      <w:r w:rsidRPr="1E60542B">
        <w:rPr>
          <w:rFonts w:eastAsia="Arial" w:cs="Arial"/>
          <w:sz w:val="22"/>
          <w:szCs w:val="22"/>
        </w:rPr>
        <w:t>space</w:t>
      </w:r>
      <w:proofErr w:type="gramEnd"/>
      <w:r w:rsidRPr="1E60542B">
        <w:rPr>
          <w:rFonts w:eastAsia="Arial" w:cs="Arial"/>
          <w:sz w:val="22"/>
          <w:szCs w:val="22"/>
        </w:rPr>
        <w:t xml:space="preserve"> and other uses. The site is complex, comprising fragmented largely (at least until the </w:t>
      </w:r>
      <w:proofErr w:type="gramStart"/>
      <w:r w:rsidRPr="1E60542B">
        <w:rPr>
          <w:rFonts w:eastAsia="Arial" w:cs="Arial"/>
          <w:sz w:val="22"/>
          <w:szCs w:val="22"/>
        </w:rPr>
        <w:t>Homes</w:t>
      </w:r>
      <w:proofErr w:type="gramEnd"/>
      <w:r w:rsidRPr="1E60542B">
        <w:rPr>
          <w:rFonts w:eastAsia="Arial" w:cs="Arial"/>
          <w:sz w:val="22"/>
          <w:szCs w:val="22"/>
        </w:rPr>
        <w:t xml:space="preserve"> England acquisition of Quayside West) private land ownerships and challenges of a common infrastructure requirement and significant abnormal costs which create a viability challenge. </w:t>
      </w:r>
    </w:p>
    <w:p w14:paraId="6626D70D" w14:textId="77777777" w:rsidR="00363F19" w:rsidRPr="00C3483E" w:rsidRDefault="00363F19" w:rsidP="004B5683">
      <w:pPr>
        <w:ind w:left="567"/>
        <w:jc w:val="both"/>
        <w:rPr>
          <w:rFonts w:eastAsia="Arial" w:cs="Arial"/>
          <w:sz w:val="22"/>
          <w:szCs w:val="22"/>
        </w:rPr>
      </w:pPr>
    </w:p>
    <w:p w14:paraId="7B14FDE3" w14:textId="41E1B628" w:rsidR="00363F19" w:rsidRPr="00CB22B2" w:rsidRDefault="00363F19" w:rsidP="004B5683">
      <w:pPr>
        <w:pStyle w:val="NoSpacing"/>
        <w:ind w:left="567"/>
        <w:jc w:val="both"/>
        <w:rPr>
          <w:rFonts w:eastAsia="Arial" w:cs="Arial"/>
          <w:sz w:val="22"/>
          <w:szCs w:val="22"/>
        </w:rPr>
      </w:pPr>
      <w:r w:rsidRPr="06E70375">
        <w:rPr>
          <w:rFonts w:eastAsia="Arial" w:cs="Arial"/>
          <w:sz w:val="22"/>
          <w:szCs w:val="22"/>
        </w:rPr>
        <w:t>The Forth Yards site is located close to the city centre but</w:t>
      </w:r>
      <w:r w:rsidR="00BC57B3" w:rsidRPr="06E70375">
        <w:rPr>
          <w:rFonts w:eastAsia="Arial" w:cs="Arial"/>
          <w:sz w:val="22"/>
          <w:szCs w:val="22"/>
        </w:rPr>
        <w:t>,</w:t>
      </w:r>
      <w:r w:rsidRPr="06E70375">
        <w:rPr>
          <w:rFonts w:eastAsia="Arial" w:cs="Arial"/>
          <w:sz w:val="22"/>
          <w:szCs w:val="22"/>
        </w:rPr>
        <w:t xml:space="preserve"> due to topographical constraints and the legacy of former uses, it is poorly connected with the surrounding environment. </w:t>
      </w:r>
      <w:r w:rsidRPr="06E70375">
        <w:rPr>
          <w:rFonts w:eastAsia="Arial" w:cs="Arial"/>
          <w:sz w:val="22"/>
          <w:szCs w:val="22"/>
          <w:lang w:eastAsia="en-US"/>
        </w:rPr>
        <w:t xml:space="preserve">Walking and cycle links to the city are constrained by busy roads with limited safe crossing opportunities and by the steep routes between Forth Yards and the river. </w:t>
      </w:r>
    </w:p>
    <w:p w14:paraId="6F5CEA71" w14:textId="77777777" w:rsidR="00363F19" w:rsidRPr="00CB22B2" w:rsidRDefault="00363F19" w:rsidP="004B5683">
      <w:pPr>
        <w:ind w:left="567"/>
        <w:jc w:val="both"/>
        <w:rPr>
          <w:rFonts w:eastAsia="Arial" w:cs="Arial"/>
          <w:sz w:val="22"/>
          <w:szCs w:val="22"/>
          <w:lang w:eastAsia="en-US"/>
        </w:rPr>
      </w:pPr>
    </w:p>
    <w:p w14:paraId="456D4947" w14:textId="7260D76D" w:rsidR="00363F19" w:rsidRDefault="00363F19" w:rsidP="004B5683">
      <w:pPr>
        <w:ind w:left="567"/>
        <w:jc w:val="both"/>
        <w:rPr>
          <w:rFonts w:cs="Arial"/>
          <w:sz w:val="22"/>
          <w:szCs w:val="22"/>
          <w:lang w:eastAsia="en-US"/>
        </w:rPr>
      </w:pPr>
      <w:r w:rsidRPr="1E60542B">
        <w:rPr>
          <w:rFonts w:cs="Arial"/>
          <w:sz w:val="22"/>
          <w:szCs w:val="22"/>
          <w:lang w:eastAsia="en-US"/>
        </w:rPr>
        <w:t xml:space="preserve">Improving transport access to Forth Yards will help to stimulate development. This will be achieved through junction </w:t>
      </w:r>
      <w:proofErr w:type="gramStart"/>
      <w:r w:rsidRPr="1E60542B">
        <w:rPr>
          <w:rFonts w:cs="Arial"/>
          <w:sz w:val="22"/>
          <w:szCs w:val="22"/>
          <w:lang w:eastAsia="en-US"/>
        </w:rPr>
        <w:t>improvements,</w:t>
      </w:r>
      <w:proofErr w:type="gramEnd"/>
      <w:r w:rsidRPr="1E60542B">
        <w:rPr>
          <w:rFonts w:cs="Arial"/>
          <w:sz w:val="22"/>
          <w:szCs w:val="22"/>
          <w:lang w:eastAsia="en-US"/>
        </w:rPr>
        <w:t xml:space="preserve"> road widening schemes and new highways and will also </w:t>
      </w:r>
      <w:r w:rsidR="02CBDF54" w:rsidRPr="1E60542B">
        <w:rPr>
          <w:rFonts w:cs="Arial"/>
          <w:sz w:val="22"/>
          <w:szCs w:val="22"/>
          <w:lang w:eastAsia="en-US"/>
        </w:rPr>
        <w:t xml:space="preserve">create </w:t>
      </w:r>
      <w:r w:rsidRPr="1E60542B">
        <w:rPr>
          <w:rFonts w:cs="Arial"/>
          <w:sz w:val="22"/>
          <w:szCs w:val="22"/>
          <w:lang w:eastAsia="en-US"/>
        </w:rPr>
        <w:t>an attractive environment for pedestrians and cyclists.</w:t>
      </w:r>
    </w:p>
    <w:p w14:paraId="05039DEA" w14:textId="77777777" w:rsidR="00363F19" w:rsidRPr="00CB22B2" w:rsidRDefault="00363F19" w:rsidP="004B5683">
      <w:pPr>
        <w:ind w:left="567"/>
        <w:jc w:val="both"/>
        <w:rPr>
          <w:rFonts w:cs="Arial"/>
          <w:sz w:val="22"/>
          <w:szCs w:val="22"/>
          <w:lang w:eastAsia="en-US"/>
        </w:rPr>
      </w:pPr>
    </w:p>
    <w:p w14:paraId="76CDDF17" w14:textId="7BE6E636" w:rsidR="00363F19" w:rsidRPr="00F43B6E" w:rsidRDefault="00363F19" w:rsidP="004B5683">
      <w:pPr>
        <w:ind w:left="567"/>
        <w:jc w:val="both"/>
        <w:rPr>
          <w:rFonts w:eastAsia="Arial" w:cs="Arial"/>
          <w:sz w:val="22"/>
          <w:szCs w:val="22"/>
          <w:lang w:eastAsia="en-US"/>
        </w:rPr>
      </w:pPr>
      <w:r w:rsidRPr="06E70375">
        <w:rPr>
          <w:rFonts w:eastAsia="Arial" w:cs="Arial"/>
          <w:sz w:val="22"/>
          <w:szCs w:val="22"/>
          <w:lang w:eastAsia="en-US"/>
        </w:rPr>
        <w:t>The submitted business case seeks funding to progress essential infrastructure works across two elements - Pottery Lane widening and facilitating works for the Newcastle Highline</w:t>
      </w:r>
      <w:r w:rsidR="00F43B6E" w:rsidRPr="06E70375">
        <w:rPr>
          <w:rFonts w:eastAsia="Arial" w:cs="Arial"/>
          <w:sz w:val="22"/>
          <w:szCs w:val="22"/>
          <w:lang w:eastAsia="en-US"/>
        </w:rPr>
        <w:t xml:space="preserve"> (see Appendix for a </w:t>
      </w:r>
      <w:r w:rsidR="00E41BBD" w:rsidRPr="06E70375">
        <w:rPr>
          <w:rFonts w:eastAsia="Arial" w:cs="Arial"/>
          <w:sz w:val="22"/>
          <w:szCs w:val="22"/>
          <w:lang w:eastAsia="en-US"/>
        </w:rPr>
        <w:t>figure).</w:t>
      </w:r>
    </w:p>
    <w:p w14:paraId="52F46154" w14:textId="77777777" w:rsidR="00363F19" w:rsidRPr="00CB22B2" w:rsidRDefault="00363F19" w:rsidP="00447F98">
      <w:pPr>
        <w:jc w:val="both"/>
        <w:rPr>
          <w:rFonts w:eastAsia="Arial" w:cs="Arial"/>
          <w:sz w:val="22"/>
          <w:szCs w:val="22"/>
          <w:lang w:eastAsia="en-US"/>
        </w:rPr>
      </w:pPr>
    </w:p>
    <w:p w14:paraId="0446A39E" w14:textId="77777777" w:rsidR="00363F19" w:rsidRPr="00CB22B2" w:rsidRDefault="00363F19" w:rsidP="004B5683">
      <w:pPr>
        <w:numPr>
          <w:ilvl w:val="0"/>
          <w:numId w:val="29"/>
        </w:numPr>
        <w:ind w:left="993"/>
        <w:contextualSpacing/>
        <w:jc w:val="both"/>
        <w:rPr>
          <w:rFonts w:eastAsia="Arial" w:cs="Arial"/>
          <w:sz w:val="22"/>
          <w:szCs w:val="22"/>
          <w:lang w:eastAsia="en-GB"/>
        </w:rPr>
      </w:pPr>
      <w:r w:rsidRPr="00CB22B2">
        <w:rPr>
          <w:rFonts w:eastAsia="Arial" w:cs="Arial"/>
          <w:sz w:val="22"/>
          <w:szCs w:val="22"/>
          <w:lang w:eastAsia="en-GB"/>
        </w:rPr>
        <w:t>Pottery Lane Widening</w:t>
      </w:r>
    </w:p>
    <w:p w14:paraId="4E6F329B" w14:textId="701322A8" w:rsidR="00363F19" w:rsidRDefault="00363F19" w:rsidP="004B5683">
      <w:pPr>
        <w:numPr>
          <w:ilvl w:val="0"/>
          <w:numId w:val="29"/>
        </w:numPr>
        <w:ind w:left="993"/>
        <w:contextualSpacing/>
        <w:jc w:val="both"/>
        <w:rPr>
          <w:rFonts w:eastAsia="Arial" w:cs="Arial"/>
          <w:sz w:val="22"/>
          <w:szCs w:val="22"/>
          <w:lang w:eastAsia="en-GB"/>
        </w:rPr>
      </w:pPr>
      <w:r w:rsidRPr="06E70375">
        <w:rPr>
          <w:rFonts w:eastAsia="Arial" w:cs="Arial"/>
          <w:sz w:val="22"/>
          <w:szCs w:val="22"/>
          <w:lang w:eastAsia="en-GB"/>
        </w:rPr>
        <w:t>Newcastle Highline Facilitating Works</w:t>
      </w:r>
    </w:p>
    <w:p w14:paraId="6BE93E6E" w14:textId="77777777" w:rsidR="00447F98" w:rsidRDefault="00447F98" w:rsidP="00447F98">
      <w:pPr>
        <w:contextualSpacing/>
        <w:jc w:val="both"/>
        <w:rPr>
          <w:rFonts w:eastAsia="Arial" w:cs="Arial"/>
          <w:sz w:val="22"/>
          <w:szCs w:val="22"/>
          <w:lang w:eastAsia="en-GB"/>
        </w:rPr>
      </w:pPr>
    </w:p>
    <w:p w14:paraId="00FF7AB4" w14:textId="77777777" w:rsidR="00447F98" w:rsidRDefault="00447F98" w:rsidP="00447F98">
      <w:pPr>
        <w:contextualSpacing/>
        <w:jc w:val="both"/>
        <w:rPr>
          <w:rFonts w:eastAsia="Arial" w:cs="Arial"/>
          <w:sz w:val="22"/>
          <w:szCs w:val="22"/>
          <w:lang w:eastAsia="en-GB"/>
        </w:rPr>
      </w:pPr>
    </w:p>
    <w:p w14:paraId="64F2B1AC" w14:textId="77777777" w:rsidR="0055111B" w:rsidRDefault="0055111B" w:rsidP="00447F98">
      <w:pPr>
        <w:contextualSpacing/>
        <w:jc w:val="both"/>
        <w:rPr>
          <w:rFonts w:eastAsia="Arial" w:cs="Arial"/>
          <w:sz w:val="22"/>
          <w:szCs w:val="22"/>
          <w:lang w:eastAsia="en-GB"/>
        </w:rPr>
      </w:pPr>
    </w:p>
    <w:p w14:paraId="332F4E69" w14:textId="77777777" w:rsidR="0055111B" w:rsidRDefault="0055111B" w:rsidP="00447F98">
      <w:pPr>
        <w:contextualSpacing/>
        <w:jc w:val="both"/>
        <w:rPr>
          <w:rFonts w:eastAsia="Arial" w:cs="Arial"/>
          <w:sz w:val="22"/>
          <w:szCs w:val="22"/>
          <w:lang w:eastAsia="en-GB"/>
        </w:rPr>
      </w:pPr>
    </w:p>
    <w:p w14:paraId="7F8FC9AF" w14:textId="77777777" w:rsidR="0055111B" w:rsidRDefault="0055111B" w:rsidP="00447F98">
      <w:pPr>
        <w:contextualSpacing/>
        <w:jc w:val="both"/>
        <w:rPr>
          <w:rFonts w:eastAsia="Arial" w:cs="Arial"/>
          <w:sz w:val="22"/>
          <w:szCs w:val="22"/>
          <w:lang w:eastAsia="en-GB"/>
        </w:rPr>
      </w:pPr>
    </w:p>
    <w:p w14:paraId="1021B5F1" w14:textId="77777777" w:rsidR="0055111B" w:rsidRDefault="0055111B" w:rsidP="00447F98">
      <w:pPr>
        <w:contextualSpacing/>
        <w:jc w:val="both"/>
        <w:rPr>
          <w:rFonts w:eastAsia="Arial" w:cs="Arial"/>
          <w:sz w:val="22"/>
          <w:szCs w:val="22"/>
          <w:lang w:eastAsia="en-GB"/>
        </w:rPr>
      </w:pPr>
    </w:p>
    <w:p w14:paraId="7F45267C" w14:textId="07C150F9" w:rsidR="00363F19" w:rsidRPr="00363F19" w:rsidRDefault="00363F19" w:rsidP="00447F98">
      <w:pPr>
        <w:pStyle w:val="ListParagraph"/>
        <w:numPr>
          <w:ilvl w:val="1"/>
          <w:numId w:val="20"/>
        </w:numPr>
        <w:jc w:val="both"/>
        <w:rPr>
          <w:rFonts w:ascii="Arial" w:eastAsia="Arial" w:hAnsi="Arial" w:cs="Arial"/>
          <w:lang w:eastAsia="en-GB"/>
        </w:rPr>
      </w:pPr>
      <w:r w:rsidRPr="00363F19">
        <w:rPr>
          <w:rFonts w:ascii="Arial" w:eastAsia="Arial" w:hAnsi="Arial" w:cs="Arial"/>
          <w:lang w:eastAsia="en-GB"/>
        </w:rPr>
        <w:lastRenderedPageBreak/>
        <w:t>Pottery Lane widening:</w:t>
      </w:r>
    </w:p>
    <w:p w14:paraId="0D3E2B4F" w14:textId="77777777" w:rsidR="00363F19" w:rsidRPr="00CB22B2" w:rsidRDefault="00363F19" w:rsidP="0055111B">
      <w:pPr>
        <w:ind w:left="709"/>
        <w:jc w:val="both"/>
        <w:rPr>
          <w:rFonts w:eastAsia="Arial" w:cs="Arial"/>
          <w:sz w:val="22"/>
          <w:szCs w:val="22"/>
          <w:lang w:eastAsia="en-US"/>
        </w:rPr>
      </w:pPr>
      <w:r w:rsidRPr="00CB22B2">
        <w:rPr>
          <w:rFonts w:eastAsia="Arial" w:cs="Arial"/>
          <w:sz w:val="22"/>
          <w:szCs w:val="22"/>
          <w:lang w:eastAsia="en-US"/>
        </w:rPr>
        <w:t xml:space="preserve">The widening of Pottery Lane has been identified in </w:t>
      </w:r>
      <w:proofErr w:type="gramStart"/>
      <w:r w:rsidRPr="00CB22B2">
        <w:rPr>
          <w:rFonts w:eastAsia="Arial" w:cs="Arial"/>
          <w:sz w:val="22"/>
          <w:szCs w:val="22"/>
          <w:lang w:eastAsia="en-US"/>
        </w:rPr>
        <w:t>a number of</w:t>
      </w:r>
      <w:proofErr w:type="gramEnd"/>
      <w:r w:rsidRPr="00CB22B2">
        <w:rPr>
          <w:rFonts w:eastAsia="Arial" w:cs="Arial"/>
          <w:sz w:val="22"/>
          <w:szCs w:val="22"/>
          <w:lang w:eastAsia="en-US"/>
        </w:rPr>
        <w:t xml:space="preserve"> statutory and wider strategic documents</w:t>
      </w:r>
      <w:r w:rsidRPr="00CB22B2">
        <w:rPr>
          <w:rFonts w:eastAsia="Arial" w:cs="Arial"/>
          <w:sz w:val="22"/>
          <w:szCs w:val="22"/>
          <w:vertAlign w:val="superscript"/>
          <w:lang w:eastAsia="en-US"/>
        </w:rPr>
        <w:footnoteReference w:id="2"/>
      </w:r>
      <w:r w:rsidRPr="00CB22B2">
        <w:rPr>
          <w:rFonts w:eastAsia="Arial" w:cs="Arial"/>
          <w:sz w:val="22"/>
          <w:szCs w:val="22"/>
          <w:lang w:eastAsia="en-US"/>
        </w:rPr>
        <w:t xml:space="preserve"> as an essential first step in the programme of infrastructure im</w:t>
      </w:r>
      <w:r w:rsidRPr="00363F19">
        <w:rPr>
          <w:rFonts w:eastAsia="Arial" w:cs="Arial"/>
          <w:sz w:val="22"/>
          <w:szCs w:val="22"/>
          <w:lang w:eastAsia="en-US"/>
        </w:rPr>
        <w:t>p</w:t>
      </w:r>
      <w:r w:rsidRPr="00CB22B2">
        <w:rPr>
          <w:rFonts w:eastAsia="Arial" w:cs="Arial"/>
          <w:sz w:val="22"/>
          <w:szCs w:val="22"/>
          <w:lang w:eastAsia="en-US"/>
        </w:rPr>
        <w:t>rovements to support the progression of development sites in the Forth Yards area.</w:t>
      </w:r>
      <w:r w:rsidRPr="00363F19">
        <w:rPr>
          <w:rFonts w:eastAsia="Arial" w:cs="Arial"/>
          <w:sz w:val="22"/>
          <w:szCs w:val="22"/>
          <w:lang w:eastAsia="en-US"/>
        </w:rPr>
        <w:t xml:space="preserve"> </w:t>
      </w:r>
      <w:r w:rsidRPr="00CB22B2">
        <w:rPr>
          <w:rFonts w:eastAsia="Arial" w:cs="Arial"/>
          <w:sz w:val="22"/>
          <w:szCs w:val="22"/>
          <w:lang w:eastAsia="en-US"/>
        </w:rPr>
        <w:t xml:space="preserve">Pottery Lane provides access to the eastern edge of the Forth Yards Site from Forth Banks through the rail viaduct linking King Edward Bridge to Central Station and separates Forth Goods Yard from the Pottery Lane West residential site. </w:t>
      </w:r>
    </w:p>
    <w:p w14:paraId="251021FC" w14:textId="77777777" w:rsidR="00363F19" w:rsidRPr="00CB22B2" w:rsidRDefault="00363F19" w:rsidP="0055111B">
      <w:pPr>
        <w:pBdr>
          <w:right w:val="single" w:sz="4" w:space="4" w:color="000000"/>
        </w:pBdr>
        <w:ind w:left="709" w:hanging="709"/>
        <w:jc w:val="both"/>
        <w:rPr>
          <w:rFonts w:eastAsia="Arial" w:cs="Arial"/>
          <w:sz w:val="22"/>
          <w:szCs w:val="22"/>
          <w:lang w:eastAsia="en-US"/>
        </w:rPr>
      </w:pPr>
    </w:p>
    <w:p w14:paraId="76F4816F" w14:textId="77777777" w:rsidR="00363F19" w:rsidRPr="00363F19" w:rsidRDefault="00363F19" w:rsidP="0055111B">
      <w:pPr>
        <w:pStyle w:val="NoSpacing"/>
        <w:ind w:left="709"/>
        <w:jc w:val="both"/>
        <w:rPr>
          <w:rFonts w:cs="Arial"/>
          <w:sz w:val="22"/>
          <w:szCs w:val="22"/>
          <w:lang w:eastAsia="en-US"/>
        </w:rPr>
      </w:pPr>
      <w:r w:rsidRPr="00363F19">
        <w:rPr>
          <w:rFonts w:eastAsia="Arial" w:cs="Arial"/>
          <w:sz w:val="22"/>
          <w:szCs w:val="22"/>
          <w:lang w:eastAsia="en-US"/>
        </w:rPr>
        <w:t>Newcastle City Council has identified that the width constraint on Pottery Lane is a major infrastructure constraint on sites with potential for early development on the eastern side of the regeneration area, Forth Goods Yard and Pottery Lane West.</w:t>
      </w:r>
      <w:r w:rsidRPr="00363F19">
        <w:rPr>
          <w:rFonts w:cs="Arial"/>
          <w:sz w:val="22"/>
          <w:szCs w:val="22"/>
          <w:lang w:eastAsia="en-US"/>
        </w:rPr>
        <w:t xml:space="preserve"> Vehicular access to these sites will be via Pottery Lane, necessitating its widening, </w:t>
      </w:r>
      <w:proofErr w:type="gramStart"/>
      <w:r w:rsidRPr="00363F19">
        <w:rPr>
          <w:rFonts w:cs="Arial"/>
          <w:sz w:val="22"/>
          <w:szCs w:val="22"/>
          <w:lang w:eastAsia="en-US"/>
        </w:rPr>
        <w:t>improvement</w:t>
      </w:r>
      <w:proofErr w:type="gramEnd"/>
      <w:r w:rsidRPr="00363F19">
        <w:rPr>
          <w:rFonts w:cs="Arial"/>
          <w:sz w:val="22"/>
          <w:szCs w:val="22"/>
          <w:lang w:eastAsia="en-US"/>
        </w:rPr>
        <w:t xml:space="preserve"> and realignment.</w:t>
      </w:r>
    </w:p>
    <w:p w14:paraId="1D1664B4" w14:textId="77777777" w:rsidR="00363F19" w:rsidRPr="00363F19" w:rsidRDefault="00363F19" w:rsidP="0055111B">
      <w:pPr>
        <w:pStyle w:val="NoSpacing"/>
        <w:ind w:left="709" w:hanging="709"/>
        <w:jc w:val="both"/>
        <w:rPr>
          <w:rFonts w:cs="Arial"/>
          <w:sz w:val="22"/>
          <w:szCs w:val="22"/>
        </w:rPr>
      </w:pPr>
    </w:p>
    <w:p w14:paraId="7F221E16" w14:textId="24B90DD2" w:rsidR="00363F19" w:rsidRPr="00CB22B2" w:rsidRDefault="00363F19" w:rsidP="0055111B">
      <w:pPr>
        <w:pBdr>
          <w:right w:val="single" w:sz="4" w:space="4" w:color="000000"/>
        </w:pBdr>
        <w:ind w:left="709"/>
        <w:jc w:val="both"/>
        <w:rPr>
          <w:rFonts w:eastAsia="Arial" w:cs="Arial"/>
          <w:sz w:val="22"/>
          <w:szCs w:val="22"/>
          <w:lang w:eastAsia="en-US"/>
        </w:rPr>
      </w:pPr>
      <w:r w:rsidRPr="06E70375">
        <w:rPr>
          <w:rFonts w:eastAsia="Arial" w:cs="Arial"/>
          <w:sz w:val="22"/>
          <w:szCs w:val="22"/>
          <w:lang w:eastAsia="en-US"/>
        </w:rPr>
        <w:t xml:space="preserve">Development on these eastern sites will only be forthcoming </w:t>
      </w:r>
      <w:proofErr w:type="gramStart"/>
      <w:r w:rsidRPr="06E70375">
        <w:rPr>
          <w:rFonts w:eastAsia="Arial" w:cs="Arial"/>
          <w:sz w:val="22"/>
          <w:szCs w:val="22"/>
          <w:lang w:eastAsia="en-US"/>
        </w:rPr>
        <w:t>on the basis of</w:t>
      </w:r>
      <w:proofErr w:type="gramEnd"/>
      <w:r w:rsidRPr="06E70375">
        <w:rPr>
          <w:rFonts w:eastAsia="Arial" w:cs="Arial"/>
          <w:sz w:val="22"/>
          <w:szCs w:val="22"/>
          <w:lang w:eastAsia="en-US"/>
        </w:rPr>
        <w:t xml:space="preserve"> the </w:t>
      </w:r>
      <w:r w:rsidR="004B35BE" w:rsidRPr="06E70375">
        <w:rPr>
          <w:rFonts w:eastAsia="Arial" w:cs="Arial"/>
          <w:sz w:val="22"/>
          <w:szCs w:val="22"/>
          <w:lang w:eastAsia="en-US"/>
        </w:rPr>
        <w:t>C</w:t>
      </w:r>
      <w:r w:rsidRPr="06E70375">
        <w:rPr>
          <w:rFonts w:eastAsia="Arial" w:cs="Arial"/>
          <w:sz w:val="22"/>
          <w:szCs w:val="22"/>
          <w:lang w:eastAsia="en-US"/>
        </w:rPr>
        <w:t xml:space="preserve">ity Council’s commitment to address this infrastructure constraint. </w:t>
      </w:r>
      <w:r w:rsidRPr="06E70375">
        <w:rPr>
          <w:rFonts w:eastAsia="Arial" w:cs="Arial"/>
          <w:color w:val="000000" w:themeColor="text1"/>
          <w:sz w:val="22"/>
          <w:szCs w:val="22"/>
          <w:lang w:eastAsia="en-US"/>
        </w:rPr>
        <w:t>Additionally, the Pottery Lane widening also has a critical role to play in supporting the delivery of other sites in the Forth Yards opportunity area.</w:t>
      </w:r>
    </w:p>
    <w:p w14:paraId="5AE923E2" w14:textId="77777777" w:rsidR="00363F19" w:rsidRPr="00CB22B2" w:rsidRDefault="00363F19" w:rsidP="00363F19">
      <w:pPr>
        <w:jc w:val="both"/>
        <w:rPr>
          <w:rFonts w:eastAsia="Arial" w:cs="Arial"/>
          <w:color w:val="000000"/>
          <w:sz w:val="22"/>
          <w:szCs w:val="22"/>
          <w:lang w:eastAsia="en-US"/>
        </w:rPr>
      </w:pPr>
    </w:p>
    <w:p w14:paraId="3D12728A" w14:textId="77777777" w:rsidR="00363F19" w:rsidRPr="00CB22B2" w:rsidRDefault="00363F19" w:rsidP="0055111B">
      <w:pPr>
        <w:numPr>
          <w:ilvl w:val="0"/>
          <w:numId w:val="30"/>
        </w:numPr>
        <w:pBdr>
          <w:right w:val="single" w:sz="4" w:space="4" w:color="auto"/>
        </w:pBdr>
        <w:ind w:left="1134"/>
        <w:contextualSpacing/>
        <w:jc w:val="both"/>
        <w:rPr>
          <w:rFonts w:eastAsia="Times New Roman" w:cs="Arial"/>
          <w:sz w:val="22"/>
          <w:szCs w:val="22"/>
          <w:lang w:eastAsia="en-GB"/>
        </w:rPr>
      </w:pPr>
      <w:r w:rsidRPr="00CB22B2">
        <w:rPr>
          <w:rFonts w:eastAsia="Times New Roman" w:cs="Arial"/>
          <w:sz w:val="22"/>
          <w:szCs w:val="22"/>
          <w:lang w:eastAsia="en-GB"/>
        </w:rPr>
        <w:t>The acquisition of the Quayside West site by Homes England will require improved access short term (construction traffic) and long term (residential population). Homes England are progressing swiftly to identify a delivery model and move the site forward to delivery.</w:t>
      </w:r>
    </w:p>
    <w:p w14:paraId="33C4DCED" w14:textId="0F0ACD16" w:rsidR="00922C65" w:rsidRDefault="00B70159" w:rsidP="0055111B">
      <w:pPr>
        <w:numPr>
          <w:ilvl w:val="0"/>
          <w:numId w:val="30"/>
        </w:numPr>
        <w:pBdr>
          <w:right w:val="single" w:sz="4" w:space="4" w:color="auto"/>
        </w:pBdr>
        <w:ind w:left="1134"/>
        <w:contextualSpacing/>
        <w:jc w:val="both"/>
        <w:rPr>
          <w:rFonts w:eastAsia="Times New Roman" w:cs="Arial"/>
          <w:sz w:val="22"/>
          <w:szCs w:val="22"/>
          <w:lang w:eastAsia="en-GB"/>
        </w:rPr>
      </w:pPr>
      <w:r w:rsidRPr="06E70375">
        <w:rPr>
          <w:rFonts w:eastAsia="Times New Roman" w:cs="Arial"/>
          <w:sz w:val="22"/>
          <w:szCs w:val="22"/>
          <w:lang w:eastAsia="en-GB"/>
        </w:rPr>
        <w:t>Government [</w:t>
      </w:r>
      <w:r w:rsidR="00363F19" w:rsidRPr="06E70375">
        <w:rPr>
          <w:rFonts w:eastAsia="Times New Roman" w:cs="Arial"/>
          <w:sz w:val="22"/>
          <w:szCs w:val="22"/>
          <w:lang w:eastAsia="en-GB"/>
        </w:rPr>
        <w:t>DESNEZ</w:t>
      </w:r>
      <w:r w:rsidRPr="06E70375">
        <w:rPr>
          <w:rFonts w:eastAsia="Times New Roman" w:cs="Arial"/>
          <w:sz w:val="22"/>
          <w:szCs w:val="22"/>
          <w:lang w:eastAsia="en-GB"/>
        </w:rPr>
        <w:t>]</w:t>
      </w:r>
      <w:r w:rsidR="00363F19" w:rsidRPr="06E70375">
        <w:rPr>
          <w:rFonts w:eastAsia="Times New Roman" w:cs="Arial"/>
          <w:sz w:val="22"/>
          <w:szCs w:val="22"/>
          <w:lang w:eastAsia="en-GB"/>
        </w:rPr>
        <w:t xml:space="preserve"> funding for a localised District Heating Plant will be focused on this area and needs to start on site by 2025. The works to widen of Pottery Lane will enable heat network and other key services infrastructure to be introduced within the highway.</w:t>
      </w:r>
    </w:p>
    <w:p w14:paraId="4927B80A" w14:textId="77777777" w:rsidR="00363F19" w:rsidRPr="00CB22B2" w:rsidRDefault="00363F19" w:rsidP="00363F19">
      <w:pPr>
        <w:pBdr>
          <w:right w:val="single" w:sz="4" w:space="4" w:color="auto"/>
        </w:pBdr>
        <w:jc w:val="both"/>
        <w:rPr>
          <w:rFonts w:cs="Arial"/>
          <w:sz w:val="22"/>
          <w:szCs w:val="22"/>
          <w:lang w:eastAsia="en-US"/>
        </w:rPr>
      </w:pPr>
    </w:p>
    <w:p w14:paraId="13CC3A2B" w14:textId="77777777" w:rsidR="00363F19" w:rsidRPr="00CB22B2" w:rsidRDefault="00363F19" w:rsidP="0055111B">
      <w:pPr>
        <w:pBdr>
          <w:right w:val="single" w:sz="4" w:space="4" w:color="auto"/>
        </w:pBdr>
        <w:ind w:left="709"/>
        <w:jc w:val="both"/>
        <w:rPr>
          <w:rFonts w:cs="Arial"/>
          <w:sz w:val="22"/>
          <w:szCs w:val="22"/>
          <w:lang w:eastAsia="en-US"/>
        </w:rPr>
      </w:pPr>
      <w:r w:rsidRPr="00CB22B2">
        <w:rPr>
          <w:rFonts w:cs="Arial"/>
          <w:sz w:val="22"/>
          <w:szCs w:val="22"/>
          <w:lang w:eastAsia="en-US"/>
        </w:rPr>
        <w:t xml:space="preserve">Scoping works have been undertaken by Newcastle City Council to enable the swift delivery of the widening and enhancement works. A detailed scheme design is </w:t>
      </w:r>
      <w:r w:rsidRPr="00363F19">
        <w:rPr>
          <w:rFonts w:cs="Arial"/>
          <w:sz w:val="22"/>
          <w:szCs w:val="22"/>
          <w:lang w:eastAsia="en-US"/>
        </w:rPr>
        <w:t xml:space="preserve">complete which identified </w:t>
      </w:r>
      <w:r w:rsidRPr="00CB22B2">
        <w:rPr>
          <w:rFonts w:cs="Arial"/>
          <w:sz w:val="22"/>
          <w:szCs w:val="22"/>
          <w:lang w:eastAsia="en-US"/>
        </w:rPr>
        <w:t>£4,269,063</w:t>
      </w:r>
      <w:r w:rsidRPr="00363F19">
        <w:rPr>
          <w:rFonts w:cs="Arial"/>
          <w:sz w:val="22"/>
          <w:szCs w:val="22"/>
          <w:lang w:eastAsia="en-US"/>
        </w:rPr>
        <w:t>, which is now</w:t>
      </w:r>
      <w:r w:rsidRPr="00CB22B2">
        <w:rPr>
          <w:rFonts w:cs="Arial"/>
          <w:sz w:val="22"/>
          <w:szCs w:val="22"/>
          <w:lang w:eastAsia="en-US"/>
        </w:rPr>
        <w:t xml:space="preserve"> is sought to deliver the following:</w:t>
      </w:r>
    </w:p>
    <w:p w14:paraId="1CE031A1" w14:textId="61D0AC2A" w:rsidR="00363F19" w:rsidRPr="00CB22B2" w:rsidRDefault="00363F19" w:rsidP="0055111B">
      <w:pPr>
        <w:numPr>
          <w:ilvl w:val="0"/>
          <w:numId w:val="31"/>
        </w:numPr>
        <w:pBdr>
          <w:right w:val="single" w:sz="4" w:space="4" w:color="auto"/>
        </w:pBdr>
        <w:ind w:left="1134"/>
        <w:contextualSpacing/>
        <w:jc w:val="both"/>
        <w:rPr>
          <w:rFonts w:eastAsia="Times New Roman" w:cs="Arial"/>
          <w:sz w:val="22"/>
          <w:szCs w:val="22"/>
          <w:lang w:eastAsia="en-GB"/>
        </w:rPr>
      </w:pPr>
      <w:r w:rsidRPr="06E70375">
        <w:rPr>
          <w:rFonts w:eastAsia="Times New Roman" w:cs="Arial"/>
          <w:sz w:val="22"/>
          <w:szCs w:val="22"/>
          <w:lang w:eastAsia="en-GB"/>
        </w:rPr>
        <w:t xml:space="preserve">Pottery Lane (Widening) </w:t>
      </w:r>
      <w:r w:rsidR="00922C65" w:rsidRPr="06E70375">
        <w:rPr>
          <w:rFonts w:eastAsia="Times New Roman" w:cs="Arial"/>
          <w:sz w:val="22"/>
          <w:szCs w:val="22"/>
          <w:lang w:eastAsia="en-GB"/>
        </w:rPr>
        <w:t>–</w:t>
      </w:r>
      <w:r w:rsidRPr="06E70375">
        <w:rPr>
          <w:rFonts w:eastAsia="Times New Roman" w:cs="Arial"/>
          <w:sz w:val="22"/>
          <w:szCs w:val="22"/>
          <w:lang w:eastAsia="en-GB"/>
        </w:rPr>
        <w:t xml:space="preserve"> Civils &amp; Surfacing</w:t>
      </w:r>
    </w:p>
    <w:p w14:paraId="5FDCB531" w14:textId="7C837467" w:rsidR="00363F19" w:rsidRPr="00CB22B2" w:rsidRDefault="00363F19" w:rsidP="0055111B">
      <w:pPr>
        <w:numPr>
          <w:ilvl w:val="0"/>
          <w:numId w:val="31"/>
        </w:numPr>
        <w:pBdr>
          <w:right w:val="single" w:sz="4" w:space="4" w:color="auto"/>
        </w:pBdr>
        <w:ind w:left="1134"/>
        <w:contextualSpacing/>
        <w:jc w:val="both"/>
        <w:rPr>
          <w:rFonts w:eastAsia="Times New Roman" w:cs="Arial"/>
          <w:sz w:val="22"/>
          <w:szCs w:val="22"/>
          <w:lang w:eastAsia="en-GB"/>
        </w:rPr>
      </w:pPr>
      <w:r w:rsidRPr="06E70375">
        <w:rPr>
          <w:rFonts w:eastAsia="Times New Roman" w:cs="Arial"/>
          <w:sz w:val="22"/>
          <w:szCs w:val="22"/>
          <w:lang w:eastAsia="en-GB"/>
        </w:rPr>
        <w:t xml:space="preserve">Forth Banks Junction </w:t>
      </w:r>
      <w:r w:rsidR="00922C65" w:rsidRPr="06E70375">
        <w:rPr>
          <w:rFonts w:eastAsia="Times New Roman" w:cs="Arial"/>
          <w:sz w:val="22"/>
          <w:szCs w:val="22"/>
          <w:lang w:eastAsia="en-GB"/>
        </w:rPr>
        <w:t>–</w:t>
      </w:r>
      <w:r w:rsidRPr="06E70375">
        <w:rPr>
          <w:rFonts w:eastAsia="Times New Roman" w:cs="Arial"/>
          <w:sz w:val="22"/>
          <w:szCs w:val="22"/>
          <w:lang w:eastAsia="en-GB"/>
        </w:rPr>
        <w:t xml:space="preserve"> Traffic Signals and surfacing </w:t>
      </w:r>
    </w:p>
    <w:p w14:paraId="3120127C" w14:textId="3882559A" w:rsidR="00363F19" w:rsidRPr="00CB22B2" w:rsidRDefault="00363F19" w:rsidP="0055111B">
      <w:pPr>
        <w:numPr>
          <w:ilvl w:val="0"/>
          <w:numId w:val="31"/>
        </w:numPr>
        <w:pBdr>
          <w:right w:val="single" w:sz="4" w:space="4" w:color="auto"/>
        </w:pBdr>
        <w:ind w:left="1134"/>
        <w:contextualSpacing/>
        <w:jc w:val="both"/>
        <w:rPr>
          <w:rFonts w:eastAsia="Times New Roman" w:cs="Arial"/>
          <w:sz w:val="22"/>
          <w:szCs w:val="22"/>
          <w:lang w:eastAsia="en-GB"/>
        </w:rPr>
      </w:pPr>
      <w:proofErr w:type="spellStart"/>
      <w:r w:rsidRPr="06E70375">
        <w:rPr>
          <w:rFonts w:eastAsia="Times New Roman" w:cs="Arial"/>
          <w:sz w:val="22"/>
          <w:szCs w:val="22"/>
          <w:lang w:eastAsia="en-GB"/>
        </w:rPr>
        <w:t>Redheugh</w:t>
      </w:r>
      <w:proofErr w:type="spellEnd"/>
      <w:r w:rsidRPr="06E70375">
        <w:rPr>
          <w:rFonts w:eastAsia="Times New Roman" w:cs="Arial"/>
          <w:sz w:val="22"/>
          <w:szCs w:val="22"/>
          <w:lang w:eastAsia="en-GB"/>
        </w:rPr>
        <w:t xml:space="preserve"> Bridge Road </w:t>
      </w:r>
      <w:r w:rsidR="00922C65" w:rsidRPr="06E70375">
        <w:rPr>
          <w:rFonts w:eastAsia="Times New Roman" w:cs="Arial"/>
          <w:sz w:val="22"/>
          <w:szCs w:val="22"/>
          <w:lang w:eastAsia="en-GB"/>
        </w:rPr>
        <w:t>–</w:t>
      </w:r>
      <w:r w:rsidRPr="06E70375">
        <w:rPr>
          <w:rFonts w:eastAsia="Times New Roman" w:cs="Arial"/>
          <w:sz w:val="22"/>
          <w:szCs w:val="22"/>
          <w:lang w:eastAsia="en-GB"/>
        </w:rPr>
        <w:t xml:space="preserve"> Traffic Signals and surfacing </w:t>
      </w:r>
    </w:p>
    <w:p w14:paraId="3671F84A" w14:textId="77777777" w:rsidR="00363F19" w:rsidRPr="00CB22B2" w:rsidRDefault="00363F19" w:rsidP="0055111B">
      <w:pPr>
        <w:numPr>
          <w:ilvl w:val="0"/>
          <w:numId w:val="31"/>
        </w:numPr>
        <w:pBdr>
          <w:right w:val="single" w:sz="4" w:space="4" w:color="auto"/>
        </w:pBdr>
        <w:ind w:left="1134"/>
        <w:contextualSpacing/>
        <w:jc w:val="both"/>
        <w:rPr>
          <w:rFonts w:eastAsia="Times New Roman" w:cs="Arial"/>
          <w:sz w:val="22"/>
          <w:szCs w:val="22"/>
          <w:lang w:eastAsia="en-GB"/>
        </w:rPr>
      </w:pPr>
      <w:r w:rsidRPr="00CB22B2">
        <w:rPr>
          <w:rFonts w:eastAsia="Times New Roman" w:cs="Arial"/>
          <w:sz w:val="22"/>
          <w:szCs w:val="22"/>
          <w:lang w:eastAsia="en-GB"/>
        </w:rPr>
        <w:t>Street Lighting</w:t>
      </w:r>
    </w:p>
    <w:p w14:paraId="6F00F942" w14:textId="77777777" w:rsidR="00363F19" w:rsidRPr="00363F19" w:rsidRDefault="00363F19" w:rsidP="0055111B">
      <w:pPr>
        <w:numPr>
          <w:ilvl w:val="0"/>
          <w:numId w:val="31"/>
        </w:numPr>
        <w:pBdr>
          <w:right w:val="single" w:sz="4" w:space="4" w:color="auto"/>
        </w:pBdr>
        <w:ind w:left="1134"/>
        <w:contextualSpacing/>
        <w:jc w:val="both"/>
        <w:rPr>
          <w:rFonts w:eastAsia="Times New Roman" w:cs="Arial"/>
          <w:sz w:val="22"/>
          <w:szCs w:val="22"/>
          <w:lang w:eastAsia="en-GB"/>
        </w:rPr>
      </w:pPr>
      <w:r w:rsidRPr="00CB22B2">
        <w:rPr>
          <w:rFonts w:eastAsia="Times New Roman" w:cs="Arial"/>
          <w:sz w:val="22"/>
          <w:szCs w:val="22"/>
          <w:lang w:eastAsia="en-GB"/>
        </w:rPr>
        <w:t>HVM (</w:t>
      </w:r>
      <w:proofErr w:type="spellStart"/>
      <w:r w:rsidRPr="00CB22B2">
        <w:rPr>
          <w:rFonts w:eastAsia="Times New Roman" w:cs="Arial"/>
          <w:sz w:val="22"/>
          <w:szCs w:val="22"/>
          <w:lang w:eastAsia="en-GB"/>
        </w:rPr>
        <w:t>Redheugh</w:t>
      </w:r>
      <w:proofErr w:type="spellEnd"/>
      <w:r w:rsidRPr="00CB22B2">
        <w:rPr>
          <w:rFonts w:eastAsia="Times New Roman" w:cs="Arial"/>
          <w:sz w:val="22"/>
          <w:szCs w:val="22"/>
          <w:lang w:eastAsia="en-GB"/>
        </w:rPr>
        <w:t xml:space="preserve"> Bridge Road) &amp; associated pedestrian </w:t>
      </w:r>
      <w:proofErr w:type="gramStart"/>
      <w:r w:rsidRPr="00CB22B2">
        <w:rPr>
          <w:rFonts w:eastAsia="Times New Roman" w:cs="Arial"/>
          <w:sz w:val="22"/>
          <w:szCs w:val="22"/>
          <w:lang w:eastAsia="en-GB"/>
        </w:rPr>
        <w:t>crossing</w:t>
      </w:r>
      <w:proofErr w:type="gramEnd"/>
    </w:p>
    <w:p w14:paraId="40BBD40A" w14:textId="0DED9886" w:rsidR="00363F19" w:rsidRPr="00363F19" w:rsidRDefault="00363F19" w:rsidP="0055111B">
      <w:pPr>
        <w:numPr>
          <w:ilvl w:val="0"/>
          <w:numId w:val="31"/>
        </w:numPr>
        <w:pBdr>
          <w:right w:val="single" w:sz="4" w:space="4" w:color="auto"/>
        </w:pBdr>
        <w:ind w:left="1134"/>
        <w:contextualSpacing/>
        <w:jc w:val="both"/>
        <w:rPr>
          <w:rFonts w:eastAsia="Times New Roman" w:cs="Arial"/>
          <w:sz w:val="22"/>
          <w:szCs w:val="22"/>
          <w:lang w:eastAsia="en-GB"/>
        </w:rPr>
      </w:pPr>
      <w:r w:rsidRPr="00363F19">
        <w:rPr>
          <w:rFonts w:eastAsia="Times New Roman" w:cs="Arial"/>
          <w:sz w:val="22"/>
          <w:szCs w:val="22"/>
          <w:lang w:eastAsia="en-GB"/>
        </w:rPr>
        <w:t>District Energy Infrastructure</w:t>
      </w:r>
    </w:p>
    <w:p w14:paraId="71BEFB56" w14:textId="77777777" w:rsidR="00786202" w:rsidRDefault="00786202" w:rsidP="00363F19">
      <w:pPr>
        <w:pStyle w:val="NoSpacing"/>
        <w:jc w:val="both"/>
        <w:rPr>
          <w:rFonts w:cs="Arial"/>
          <w:sz w:val="22"/>
          <w:szCs w:val="22"/>
        </w:rPr>
      </w:pPr>
    </w:p>
    <w:p w14:paraId="2BF00CC3" w14:textId="618CE6EA" w:rsidR="00363F19" w:rsidRDefault="00363F19" w:rsidP="00363F19">
      <w:pPr>
        <w:pStyle w:val="NoSpacing"/>
        <w:numPr>
          <w:ilvl w:val="1"/>
          <w:numId w:val="20"/>
        </w:numPr>
        <w:jc w:val="both"/>
        <w:rPr>
          <w:rFonts w:cs="Arial"/>
          <w:sz w:val="22"/>
          <w:szCs w:val="22"/>
        </w:rPr>
      </w:pPr>
      <w:r>
        <w:rPr>
          <w:rFonts w:cs="Arial"/>
          <w:sz w:val="22"/>
          <w:szCs w:val="22"/>
        </w:rPr>
        <w:t>Highline Facilitating Works:</w:t>
      </w:r>
    </w:p>
    <w:p w14:paraId="68460724" w14:textId="77777777" w:rsidR="00363F19" w:rsidRDefault="00363F19" w:rsidP="00363F19">
      <w:pPr>
        <w:pStyle w:val="NoSpacing"/>
        <w:jc w:val="both"/>
        <w:rPr>
          <w:rFonts w:cs="Arial"/>
          <w:sz w:val="22"/>
          <w:szCs w:val="22"/>
        </w:rPr>
      </w:pPr>
    </w:p>
    <w:p w14:paraId="6BAFE4D7" w14:textId="77777777" w:rsidR="00363F19" w:rsidRPr="00CB22B2" w:rsidRDefault="00363F19" w:rsidP="00D846FC">
      <w:pPr>
        <w:ind w:left="709"/>
        <w:jc w:val="both"/>
        <w:rPr>
          <w:rFonts w:cs="Arial"/>
          <w:sz w:val="22"/>
          <w:szCs w:val="22"/>
          <w:lang w:eastAsia="en-US"/>
        </w:rPr>
      </w:pPr>
      <w:r w:rsidRPr="00CB22B2">
        <w:rPr>
          <w:rFonts w:cs="Arial"/>
          <w:sz w:val="22"/>
          <w:szCs w:val="22"/>
          <w:lang w:eastAsia="en-US"/>
        </w:rPr>
        <w:t>The Newcastle Highline will be a high-quality elevated linear park and segregated active travel route on a 1.6 km stretch of the former Forth railway branch. The route will span the northern boundary of the site between Newcastle Central Station, Forth Yards and extending westwards to Newcastle Business Park, along with intermediate links to existing active travel routes.</w:t>
      </w:r>
    </w:p>
    <w:p w14:paraId="55EAEF4F" w14:textId="77777777" w:rsidR="00363F19" w:rsidRPr="00CB22B2" w:rsidRDefault="00363F19" w:rsidP="00D846FC">
      <w:pPr>
        <w:ind w:left="709"/>
        <w:jc w:val="both"/>
        <w:rPr>
          <w:rFonts w:cs="Arial"/>
          <w:sz w:val="22"/>
          <w:szCs w:val="22"/>
          <w:lang w:eastAsia="en-US"/>
        </w:rPr>
      </w:pPr>
    </w:p>
    <w:p w14:paraId="30EB966C" w14:textId="77777777" w:rsidR="00363F19" w:rsidRPr="00CB22B2" w:rsidRDefault="00363F19" w:rsidP="00D846FC">
      <w:pPr>
        <w:ind w:left="709"/>
        <w:jc w:val="both"/>
        <w:rPr>
          <w:rFonts w:cs="Arial"/>
          <w:sz w:val="22"/>
          <w:szCs w:val="22"/>
          <w:lang w:eastAsia="en-US"/>
        </w:rPr>
      </w:pPr>
      <w:r w:rsidRPr="00CB22B2">
        <w:rPr>
          <w:rFonts w:cs="Arial"/>
          <w:sz w:val="22"/>
          <w:szCs w:val="22"/>
          <w:lang w:eastAsia="en-US"/>
        </w:rPr>
        <w:t>This will provide the opportunity to connect the city centre to the future Forth Yards neighbourhood and existing communities to the east. It is a key part of the green infrastructure and connectivity to create a high quality, low carbon, low car neighbourhood in a gateway location in Newcastle.</w:t>
      </w:r>
    </w:p>
    <w:p w14:paraId="58F67637" w14:textId="77777777" w:rsidR="00363F19" w:rsidRPr="00CB22B2" w:rsidRDefault="00363F19" w:rsidP="00D846FC">
      <w:pPr>
        <w:ind w:left="709"/>
        <w:jc w:val="both"/>
        <w:rPr>
          <w:rFonts w:cs="Arial"/>
          <w:sz w:val="22"/>
          <w:szCs w:val="22"/>
          <w:lang w:eastAsia="en-US"/>
        </w:rPr>
      </w:pPr>
    </w:p>
    <w:p w14:paraId="0221F2AD" w14:textId="77777777" w:rsidR="00363F19" w:rsidRPr="00CB22B2" w:rsidRDefault="00363F19" w:rsidP="00D846FC">
      <w:pPr>
        <w:ind w:left="709"/>
        <w:jc w:val="both"/>
        <w:rPr>
          <w:rFonts w:cs="Arial"/>
          <w:sz w:val="22"/>
          <w:szCs w:val="22"/>
          <w:lang w:eastAsia="en-US"/>
        </w:rPr>
      </w:pPr>
      <w:r w:rsidRPr="00CB22B2">
        <w:rPr>
          <w:rFonts w:cs="Arial"/>
          <w:sz w:val="22"/>
          <w:szCs w:val="22"/>
          <w:lang w:eastAsia="en-US"/>
        </w:rPr>
        <w:t xml:space="preserve">Significant preparatory and scoping work has been undertaken to identify options. An options appraisal study was undertaken in March 2024. </w:t>
      </w:r>
      <w:proofErr w:type="gramStart"/>
      <w:r w:rsidRPr="00CB22B2">
        <w:rPr>
          <w:rFonts w:cs="Arial"/>
          <w:sz w:val="22"/>
          <w:szCs w:val="22"/>
          <w:lang w:eastAsia="en-US"/>
        </w:rPr>
        <w:t>In order to</w:t>
      </w:r>
      <w:proofErr w:type="gramEnd"/>
      <w:r w:rsidRPr="00CB22B2">
        <w:rPr>
          <w:rFonts w:cs="Arial"/>
          <w:sz w:val="22"/>
          <w:szCs w:val="22"/>
          <w:lang w:eastAsia="en-US"/>
        </w:rPr>
        <w:t xml:space="preserve"> progress the options appraisal to deliver, manage and maintain the Highline, a significant amount of supporting information is required, specifically related to any abnormal costs associated with its development.</w:t>
      </w:r>
    </w:p>
    <w:p w14:paraId="6B679064" w14:textId="77777777" w:rsidR="00363F19" w:rsidRPr="00CB22B2" w:rsidRDefault="00363F19" w:rsidP="00363F19">
      <w:pPr>
        <w:jc w:val="both"/>
        <w:rPr>
          <w:rFonts w:cs="Arial"/>
          <w:sz w:val="22"/>
          <w:szCs w:val="22"/>
          <w:lang w:eastAsia="en-US"/>
        </w:rPr>
      </w:pPr>
    </w:p>
    <w:p w14:paraId="7F1B3959" w14:textId="4C4203F7" w:rsidR="00363F19" w:rsidRPr="00CB22B2" w:rsidRDefault="00363F19" w:rsidP="0055111B">
      <w:pPr>
        <w:ind w:left="567"/>
        <w:jc w:val="both"/>
        <w:rPr>
          <w:rFonts w:cs="Arial"/>
          <w:sz w:val="22"/>
          <w:szCs w:val="22"/>
          <w:lang w:eastAsia="en-US"/>
        </w:rPr>
      </w:pPr>
      <w:r w:rsidRPr="1E60542B">
        <w:rPr>
          <w:rFonts w:cs="Arial"/>
          <w:sz w:val="22"/>
          <w:szCs w:val="22"/>
          <w:lang w:eastAsia="en-US"/>
        </w:rPr>
        <w:lastRenderedPageBreak/>
        <w:t>The Highline corridor and the areas bounding it have an extensive and varied history of potentially contaminative land uses. Whi</w:t>
      </w:r>
      <w:r w:rsidR="4E6D102A" w:rsidRPr="1E60542B">
        <w:rPr>
          <w:rFonts w:cs="Arial"/>
          <w:sz w:val="22"/>
          <w:szCs w:val="22"/>
          <w:lang w:eastAsia="en-US"/>
        </w:rPr>
        <w:t>l</w:t>
      </w:r>
      <w:r w:rsidRPr="1E60542B">
        <w:rPr>
          <w:rFonts w:cs="Arial"/>
          <w:sz w:val="22"/>
          <w:szCs w:val="22"/>
          <w:lang w:eastAsia="en-US"/>
        </w:rPr>
        <w:t>st information on the ground conditions for the surrounding sites is available, there has been no investigative work undertaken on the Highline corridor itself. To fully assess the abnormal costs associated with developing the Highline, investigative work will need to be commissioned. The work will establish the remedial/mitigation activities required to address contamination and ground gas risks and to undertake an assessment of bridges and supporting structures. Early funding is therefore essential to undertake these works.</w:t>
      </w:r>
    </w:p>
    <w:p w14:paraId="52740730" w14:textId="77777777" w:rsidR="00363F19" w:rsidRPr="00CB22B2" w:rsidRDefault="00363F19" w:rsidP="0055111B">
      <w:pPr>
        <w:ind w:left="567"/>
        <w:jc w:val="both"/>
        <w:rPr>
          <w:rFonts w:cs="Arial"/>
          <w:sz w:val="22"/>
          <w:szCs w:val="22"/>
          <w:lang w:eastAsia="en-US"/>
        </w:rPr>
      </w:pPr>
    </w:p>
    <w:p w14:paraId="4844A004" w14:textId="3A8DB318" w:rsidR="00363F19" w:rsidRPr="00C3483E" w:rsidRDefault="00363F19" w:rsidP="0055111B">
      <w:pPr>
        <w:ind w:left="567"/>
        <w:jc w:val="both"/>
        <w:rPr>
          <w:rFonts w:cs="Arial"/>
          <w:sz w:val="22"/>
          <w:szCs w:val="22"/>
          <w:lang w:eastAsia="en-US"/>
        </w:rPr>
      </w:pPr>
      <w:r w:rsidRPr="1E60542B">
        <w:rPr>
          <w:rFonts w:cs="Arial"/>
          <w:sz w:val="22"/>
          <w:szCs w:val="22"/>
          <w:lang w:eastAsia="en-US"/>
        </w:rPr>
        <w:t xml:space="preserve">£730,000 is now sought from the </w:t>
      </w:r>
      <w:proofErr w:type="gramStart"/>
      <w:r w:rsidR="00774ED3" w:rsidRPr="1E60542B">
        <w:rPr>
          <w:rFonts w:cs="Arial"/>
          <w:sz w:val="22"/>
          <w:szCs w:val="22"/>
          <w:lang w:eastAsia="en-US"/>
        </w:rPr>
        <w:t>North East</w:t>
      </w:r>
      <w:proofErr w:type="gramEnd"/>
      <w:r w:rsidR="00774ED3" w:rsidRPr="1E60542B">
        <w:rPr>
          <w:rFonts w:cs="Arial"/>
          <w:sz w:val="22"/>
          <w:szCs w:val="22"/>
          <w:lang w:eastAsia="en-US"/>
        </w:rPr>
        <w:t xml:space="preserve"> CA</w:t>
      </w:r>
      <w:r w:rsidRPr="1E60542B">
        <w:rPr>
          <w:rFonts w:cs="Arial"/>
          <w:sz w:val="22"/>
          <w:szCs w:val="22"/>
          <w:lang w:eastAsia="en-US"/>
        </w:rPr>
        <w:t xml:space="preserve"> for these further investigative works. </w:t>
      </w:r>
      <w:proofErr w:type="gramStart"/>
      <w:r w:rsidR="00922C65" w:rsidRPr="06E70375">
        <w:rPr>
          <w:rFonts w:cs="Arial"/>
          <w:sz w:val="22"/>
          <w:szCs w:val="22"/>
          <w:lang w:eastAsia="en-US"/>
        </w:rPr>
        <w:t>A large number of</w:t>
      </w:r>
      <w:proofErr w:type="gramEnd"/>
      <w:r w:rsidR="00922C65">
        <w:rPr>
          <w:rFonts w:cs="Arial"/>
          <w:sz w:val="22"/>
          <w:szCs w:val="22"/>
          <w:lang w:eastAsia="en-US"/>
        </w:rPr>
        <w:t xml:space="preserve"> </w:t>
      </w:r>
      <w:r w:rsidR="005A74A2">
        <w:rPr>
          <w:rFonts w:cs="Arial"/>
          <w:sz w:val="22"/>
          <w:szCs w:val="22"/>
          <w:lang w:eastAsia="en-US"/>
        </w:rPr>
        <w:t xml:space="preserve">feasibility </w:t>
      </w:r>
      <w:r w:rsidRPr="1E60542B">
        <w:rPr>
          <w:rFonts w:cs="Arial"/>
          <w:sz w:val="22"/>
          <w:szCs w:val="22"/>
          <w:lang w:eastAsia="en-US"/>
        </w:rPr>
        <w:t>studies</w:t>
      </w:r>
      <w:r w:rsidR="005A74A2">
        <w:rPr>
          <w:rFonts w:cs="Arial"/>
          <w:sz w:val="22"/>
          <w:szCs w:val="22"/>
          <w:lang w:eastAsia="en-US"/>
        </w:rPr>
        <w:t xml:space="preserve"> and further work</w:t>
      </w:r>
      <w:r w:rsidRPr="1E60542B">
        <w:rPr>
          <w:rFonts w:cs="Arial"/>
          <w:sz w:val="22"/>
          <w:szCs w:val="22"/>
          <w:lang w:eastAsia="en-US"/>
        </w:rPr>
        <w:t xml:space="preserve"> ha</w:t>
      </w:r>
      <w:r w:rsidR="005A74A2">
        <w:rPr>
          <w:rFonts w:cs="Arial"/>
          <w:sz w:val="22"/>
          <w:szCs w:val="22"/>
          <w:lang w:eastAsia="en-US"/>
        </w:rPr>
        <w:t>s</w:t>
      </w:r>
      <w:r w:rsidRPr="1E60542B">
        <w:rPr>
          <w:rFonts w:cs="Arial"/>
          <w:sz w:val="22"/>
          <w:szCs w:val="22"/>
          <w:lang w:eastAsia="en-US"/>
        </w:rPr>
        <w:t xml:space="preserve"> been identified as necessary</w:t>
      </w:r>
      <w:r w:rsidR="005A74A2">
        <w:rPr>
          <w:rFonts w:cs="Arial"/>
          <w:sz w:val="22"/>
          <w:szCs w:val="22"/>
          <w:lang w:eastAsia="en-US"/>
        </w:rPr>
        <w:t xml:space="preserve"> for this scheme</w:t>
      </w:r>
      <w:r w:rsidR="00220FD9">
        <w:rPr>
          <w:rFonts w:cs="Arial"/>
          <w:sz w:val="22"/>
          <w:szCs w:val="22"/>
          <w:lang w:eastAsia="en-US"/>
        </w:rPr>
        <w:t xml:space="preserve"> </w:t>
      </w:r>
      <w:r w:rsidR="00A62DF7">
        <w:rPr>
          <w:rFonts w:cs="Arial"/>
          <w:sz w:val="22"/>
          <w:szCs w:val="22"/>
          <w:lang w:eastAsia="en-US"/>
        </w:rPr>
        <w:t>including</w:t>
      </w:r>
      <w:r w:rsidR="005A74A2">
        <w:rPr>
          <w:rFonts w:cs="Arial"/>
          <w:sz w:val="22"/>
          <w:szCs w:val="22"/>
          <w:lang w:eastAsia="en-US"/>
        </w:rPr>
        <w:t xml:space="preserve"> design </w:t>
      </w:r>
      <w:r w:rsidR="00A62DF7">
        <w:rPr>
          <w:rFonts w:cs="Arial"/>
          <w:sz w:val="22"/>
          <w:szCs w:val="22"/>
          <w:lang w:eastAsia="en-US"/>
        </w:rPr>
        <w:t xml:space="preserve">works, </w:t>
      </w:r>
      <w:r w:rsidR="001951F1">
        <w:rPr>
          <w:rFonts w:cs="Arial"/>
          <w:sz w:val="22"/>
          <w:szCs w:val="22"/>
          <w:lang w:eastAsia="en-US"/>
        </w:rPr>
        <w:t>ground and environmental assessments.</w:t>
      </w:r>
      <w:r w:rsidR="001951F1">
        <w:rPr>
          <w:rStyle w:val="FootnoteReference"/>
          <w:rFonts w:cs="Arial"/>
          <w:sz w:val="22"/>
          <w:szCs w:val="22"/>
          <w:lang w:eastAsia="en-US"/>
        </w:rPr>
        <w:footnoteReference w:id="3"/>
      </w:r>
      <w:r w:rsidR="00220FD9">
        <w:rPr>
          <w:rFonts w:cs="Arial"/>
          <w:sz w:val="22"/>
          <w:szCs w:val="22"/>
          <w:lang w:eastAsia="en-US"/>
        </w:rPr>
        <w:t xml:space="preserve"> </w:t>
      </w:r>
    </w:p>
    <w:p w14:paraId="32315D59" w14:textId="7226F7AF" w:rsidR="00363F19" w:rsidRPr="00CB22B2" w:rsidRDefault="00363F19" w:rsidP="0055111B">
      <w:pPr>
        <w:ind w:left="567"/>
        <w:jc w:val="both"/>
        <w:rPr>
          <w:rFonts w:eastAsia="Times New Roman" w:cs="Arial"/>
          <w:sz w:val="22"/>
          <w:szCs w:val="22"/>
          <w:lang w:eastAsia="en-GB"/>
        </w:rPr>
      </w:pPr>
    </w:p>
    <w:p w14:paraId="2AD6EDA2" w14:textId="77777777" w:rsidR="00363F19" w:rsidRPr="00C3483E" w:rsidRDefault="00363F19" w:rsidP="0055111B">
      <w:pPr>
        <w:pStyle w:val="NoSpacing"/>
        <w:ind w:left="567"/>
        <w:jc w:val="both"/>
        <w:rPr>
          <w:rFonts w:cs="Arial"/>
          <w:sz w:val="22"/>
          <w:szCs w:val="22"/>
          <w:lang w:eastAsia="en-US"/>
        </w:rPr>
      </w:pPr>
      <w:r w:rsidRPr="00C3483E">
        <w:rPr>
          <w:rFonts w:cs="Arial"/>
          <w:sz w:val="22"/>
          <w:szCs w:val="22"/>
          <w:lang w:eastAsia="en-US"/>
        </w:rPr>
        <w:t>Contracting of works will take place within the 2024/25 financial year, with delivery in 2025/26.</w:t>
      </w:r>
    </w:p>
    <w:p w14:paraId="5531A383" w14:textId="77777777" w:rsidR="00363F19" w:rsidRPr="00363F19" w:rsidRDefault="00363F19" w:rsidP="00363F19">
      <w:pPr>
        <w:pStyle w:val="NoSpacing"/>
        <w:jc w:val="both"/>
        <w:rPr>
          <w:rFonts w:cs="Arial"/>
          <w:sz w:val="22"/>
          <w:szCs w:val="22"/>
        </w:rPr>
      </w:pPr>
    </w:p>
    <w:p w14:paraId="46BD0555" w14:textId="031E260A" w:rsidR="00786202" w:rsidRPr="00C3483E" w:rsidRDefault="00F51D95" w:rsidP="00291BA6">
      <w:pPr>
        <w:pStyle w:val="NoSpacing"/>
        <w:numPr>
          <w:ilvl w:val="0"/>
          <w:numId w:val="23"/>
        </w:numPr>
        <w:ind w:left="567" w:hanging="567"/>
        <w:rPr>
          <w:rFonts w:cs="Arial"/>
          <w:b/>
          <w:bCs/>
          <w:sz w:val="22"/>
          <w:szCs w:val="22"/>
        </w:rPr>
      </w:pPr>
      <w:r w:rsidRPr="00C3483E">
        <w:rPr>
          <w:rFonts w:cs="Arial"/>
          <w:b/>
          <w:bCs/>
          <w:sz w:val="22"/>
          <w:szCs w:val="22"/>
        </w:rPr>
        <w:t>Funding profile:</w:t>
      </w:r>
    </w:p>
    <w:p w14:paraId="16554A90" w14:textId="77777777" w:rsidR="00B56094" w:rsidRPr="00C3483E" w:rsidRDefault="00B56094" w:rsidP="00B56094">
      <w:pPr>
        <w:pStyle w:val="NoSpacing"/>
        <w:rPr>
          <w:rFonts w:cs="Arial"/>
          <w:b/>
          <w:bCs/>
          <w:sz w:val="22"/>
          <w:szCs w:val="22"/>
        </w:rPr>
      </w:pPr>
    </w:p>
    <w:p w14:paraId="6847B19D" w14:textId="0FE5D8D7" w:rsidR="00B56094" w:rsidRPr="00C3483E" w:rsidRDefault="00B56094" w:rsidP="00B56094">
      <w:pPr>
        <w:pStyle w:val="NoSpacing"/>
        <w:rPr>
          <w:rFonts w:cs="Arial"/>
          <w:sz w:val="22"/>
          <w:szCs w:val="22"/>
        </w:rPr>
      </w:pPr>
      <w:r w:rsidRPr="00C3483E">
        <w:rPr>
          <w:rFonts w:cs="Arial"/>
          <w:sz w:val="22"/>
          <w:szCs w:val="22"/>
        </w:rPr>
        <w:t>2.1</w:t>
      </w:r>
      <w:r w:rsidR="00021DB1">
        <w:rPr>
          <w:rFonts w:cs="Arial"/>
          <w:sz w:val="22"/>
          <w:szCs w:val="22"/>
        </w:rPr>
        <w:t xml:space="preserve">  </w:t>
      </w:r>
      <w:r w:rsidR="00291BA6">
        <w:rPr>
          <w:rFonts w:cs="Arial"/>
          <w:sz w:val="22"/>
          <w:szCs w:val="22"/>
        </w:rPr>
        <w:t xml:space="preserve">  </w:t>
      </w:r>
      <w:r w:rsidR="00C3483E" w:rsidRPr="00C3483E">
        <w:rPr>
          <w:rFonts w:cs="Arial"/>
          <w:sz w:val="22"/>
          <w:szCs w:val="22"/>
        </w:rPr>
        <w:t>Breakdown:</w:t>
      </w:r>
    </w:p>
    <w:p w14:paraId="5C8267B7" w14:textId="77777777" w:rsidR="00786202" w:rsidRPr="00C3483E" w:rsidRDefault="00786202" w:rsidP="00786202">
      <w:pPr>
        <w:pStyle w:val="NoSpacing"/>
        <w:ind w:left="720"/>
        <w:rPr>
          <w:rFonts w:cs="Arial"/>
          <w:b/>
          <w:bCs/>
          <w:sz w:val="22"/>
          <w:szCs w:val="22"/>
        </w:rPr>
      </w:pPr>
    </w:p>
    <w:tbl>
      <w:tblPr>
        <w:tblW w:w="9493"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3"/>
        <w:gridCol w:w="4370"/>
      </w:tblGrid>
      <w:tr w:rsidR="00447F98" w:rsidRPr="00B56094" w14:paraId="37602523" w14:textId="77777777" w:rsidTr="00447F98">
        <w:trPr>
          <w:trHeight w:val="311"/>
        </w:trPr>
        <w:tc>
          <w:tcPr>
            <w:tcW w:w="5123" w:type="dxa"/>
            <w:shd w:val="clear" w:color="auto" w:fill="auto"/>
            <w:hideMark/>
          </w:tcPr>
          <w:p w14:paraId="3AB8A0C0" w14:textId="77777777" w:rsidR="00447F98" w:rsidRPr="00B56094" w:rsidRDefault="00447F98" w:rsidP="00B56094">
            <w:pPr>
              <w:jc w:val="both"/>
              <w:textAlignment w:val="baseline"/>
              <w:rPr>
                <w:rFonts w:eastAsia="Times New Roman" w:cs="Arial"/>
                <w:sz w:val="22"/>
                <w:szCs w:val="22"/>
                <w:lang w:eastAsia="en-GB"/>
              </w:rPr>
            </w:pPr>
            <w:r w:rsidRPr="00B56094">
              <w:rPr>
                <w:rFonts w:eastAsia="Times New Roman" w:cs="Arial"/>
                <w:sz w:val="22"/>
                <w:szCs w:val="22"/>
                <w:lang w:eastAsia="en-GB"/>
              </w:rPr>
              <w:t> </w:t>
            </w:r>
          </w:p>
        </w:tc>
        <w:tc>
          <w:tcPr>
            <w:tcW w:w="4370" w:type="dxa"/>
            <w:shd w:val="clear" w:color="auto" w:fill="auto"/>
            <w:hideMark/>
          </w:tcPr>
          <w:p w14:paraId="57FBC129" w14:textId="4C451271" w:rsidR="00447F98" w:rsidRPr="00B56094" w:rsidRDefault="00447F98" w:rsidP="00B56094">
            <w:pPr>
              <w:jc w:val="both"/>
              <w:textAlignment w:val="baseline"/>
              <w:rPr>
                <w:rFonts w:eastAsia="Times New Roman" w:cs="Arial"/>
                <w:sz w:val="22"/>
                <w:szCs w:val="22"/>
                <w:lang w:eastAsia="en-GB"/>
              </w:rPr>
            </w:pPr>
            <w:r>
              <w:rPr>
                <w:rFonts w:eastAsia="Times New Roman" w:cs="Arial"/>
                <w:b/>
                <w:bCs/>
                <w:sz w:val="22"/>
                <w:szCs w:val="22"/>
                <w:lang w:val="en-US" w:eastAsia="en-GB"/>
              </w:rPr>
              <w:t xml:space="preserve">                                     </w:t>
            </w:r>
            <w:r w:rsidRPr="00B56094">
              <w:rPr>
                <w:rFonts w:eastAsia="Times New Roman" w:cs="Arial"/>
                <w:b/>
                <w:bCs/>
                <w:sz w:val="22"/>
                <w:szCs w:val="22"/>
                <w:lang w:val="en-US" w:eastAsia="en-GB"/>
              </w:rPr>
              <w:t>FINANCIAL VALUE</w:t>
            </w:r>
            <w:r w:rsidRPr="00B56094">
              <w:rPr>
                <w:rFonts w:eastAsia="Times New Roman" w:cs="Arial"/>
                <w:sz w:val="22"/>
                <w:szCs w:val="22"/>
                <w:lang w:eastAsia="en-GB"/>
              </w:rPr>
              <w:t> </w:t>
            </w:r>
          </w:p>
        </w:tc>
      </w:tr>
      <w:tr w:rsidR="00447F98" w:rsidRPr="00B56094" w14:paraId="2888AA5D" w14:textId="77777777" w:rsidTr="00447F98">
        <w:trPr>
          <w:trHeight w:val="311"/>
        </w:trPr>
        <w:tc>
          <w:tcPr>
            <w:tcW w:w="5123" w:type="dxa"/>
            <w:shd w:val="clear" w:color="auto" w:fill="auto"/>
            <w:hideMark/>
          </w:tcPr>
          <w:p w14:paraId="0EB188C4" w14:textId="5AF67C09" w:rsidR="00447F98" w:rsidRPr="00447F98" w:rsidRDefault="00447F98" w:rsidP="00B56094">
            <w:pPr>
              <w:tabs>
                <w:tab w:val="left" w:pos="3840"/>
              </w:tabs>
              <w:jc w:val="both"/>
              <w:textAlignment w:val="baseline"/>
              <w:rPr>
                <w:rFonts w:eastAsia="Times New Roman" w:cs="Arial"/>
                <w:b/>
                <w:bCs/>
                <w:sz w:val="22"/>
                <w:szCs w:val="22"/>
                <w:lang w:eastAsia="en-GB"/>
              </w:rPr>
            </w:pPr>
            <w:r>
              <w:rPr>
                <w:rFonts w:eastAsia="Times New Roman" w:cs="Arial"/>
                <w:b/>
                <w:bCs/>
                <w:sz w:val="22"/>
                <w:szCs w:val="22"/>
                <w:lang w:val="en-US" w:eastAsia="en-GB"/>
              </w:rPr>
              <w:t xml:space="preserve">Trailblazer </w:t>
            </w:r>
            <w:r w:rsidRPr="00447F98">
              <w:rPr>
                <w:rFonts w:eastAsia="Times New Roman" w:cs="Arial"/>
                <w:b/>
                <w:bCs/>
                <w:sz w:val="22"/>
                <w:szCs w:val="22"/>
                <w:lang w:val="en-US" w:eastAsia="en-GB"/>
              </w:rPr>
              <w:t>Capital Grant</w:t>
            </w:r>
            <w:r w:rsidRPr="00447F98">
              <w:rPr>
                <w:rFonts w:eastAsia="Times New Roman" w:cs="Arial"/>
                <w:b/>
                <w:bCs/>
                <w:sz w:val="22"/>
                <w:szCs w:val="22"/>
                <w:lang w:val="en-US" w:eastAsia="en-GB"/>
              </w:rPr>
              <w:tab/>
            </w:r>
          </w:p>
        </w:tc>
        <w:tc>
          <w:tcPr>
            <w:tcW w:w="4370" w:type="dxa"/>
            <w:shd w:val="clear" w:color="auto" w:fill="auto"/>
          </w:tcPr>
          <w:p w14:paraId="4BD89162" w14:textId="77777777" w:rsidR="00447F98" w:rsidRPr="00B56094" w:rsidRDefault="00447F98" w:rsidP="00B56094">
            <w:pPr>
              <w:jc w:val="right"/>
              <w:textAlignment w:val="baseline"/>
              <w:rPr>
                <w:rFonts w:eastAsia="Times New Roman" w:cs="Arial"/>
                <w:sz w:val="22"/>
                <w:szCs w:val="22"/>
                <w:lang w:eastAsia="en-GB"/>
              </w:rPr>
            </w:pPr>
            <w:r w:rsidRPr="00B56094">
              <w:rPr>
                <w:rFonts w:eastAsia="Times New Roman" w:cs="Arial"/>
                <w:sz w:val="22"/>
                <w:szCs w:val="22"/>
                <w:lang w:eastAsia="en-GB"/>
              </w:rPr>
              <w:t xml:space="preserve">£4,999,063  </w:t>
            </w:r>
          </w:p>
        </w:tc>
      </w:tr>
      <w:tr w:rsidR="00447F98" w:rsidRPr="00B56094" w14:paraId="0999D21E" w14:textId="77777777" w:rsidTr="00447F98">
        <w:trPr>
          <w:trHeight w:val="311"/>
        </w:trPr>
        <w:tc>
          <w:tcPr>
            <w:tcW w:w="5123" w:type="dxa"/>
            <w:shd w:val="clear" w:color="auto" w:fill="auto"/>
            <w:hideMark/>
          </w:tcPr>
          <w:p w14:paraId="1DFC7E70" w14:textId="77777777" w:rsidR="00447F98" w:rsidRPr="00B56094" w:rsidRDefault="00447F98" w:rsidP="00B56094">
            <w:pPr>
              <w:jc w:val="both"/>
              <w:textAlignment w:val="baseline"/>
              <w:rPr>
                <w:rFonts w:eastAsia="Times New Roman" w:cs="Arial"/>
                <w:sz w:val="22"/>
                <w:szCs w:val="22"/>
                <w:lang w:eastAsia="en-GB"/>
              </w:rPr>
            </w:pPr>
          </w:p>
        </w:tc>
        <w:tc>
          <w:tcPr>
            <w:tcW w:w="4370" w:type="dxa"/>
            <w:shd w:val="clear" w:color="auto" w:fill="auto"/>
          </w:tcPr>
          <w:p w14:paraId="7A8B618E" w14:textId="77777777" w:rsidR="00447F98" w:rsidRPr="00B56094" w:rsidRDefault="00447F98" w:rsidP="00B56094">
            <w:pPr>
              <w:jc w:val="both"/>
              <w:textAlignment w:val="baseline"/>
              <w:rPr>
                <w:rFonts w:eastAsia="Times New Roman" w:cs="Arial"/>
                <w:sz w:val="22"/>
                <w:szCs w:val="22"/>
                <w:lang w:eastAsia="en-GB"/>
              </w:rPr>
            </w:pPr>
          </w:p>
        </w:tc>
      </w:tr>
      <w:tr w:rsidR="00447F98" w:rsidRPr="00B56094" w14:paraId="1A9AD64F" w14:textId="77777777" w:rsidTr="00447F98">
        <w:trPr>
          <w:trHeight w:val="311"/>
        </w:trPr>
        <w:tc>
          <w:tcPr>
            <w:tcW w:w="5123" w:type="dxa"/>
            <w:shd w:val="clear" w:color="auto" w:fill="auto"/>
            <w:hideMark/>
          </w:tcPr>
          <w:p w14:paraId="6D1E7B3F" w14:textId="306C3889" w:rsidR="00447F98" w:rsidRPr="00B56094" w:rsidRDefault="00447F98" w:rsidP="00B56094">
            <w:pPr>
              <w:jc w:val="both"/>
              <w:textAlignment w:val="baseline"/>
              <w:rPr>
                <w:rFonts w:eastAsia="Times New Roman" w:cs="Arial"/>
                <w:sz w:val="22"/>
                <w:szCs w:val="22"/>
                <w:lang w:eastAsia="en-GB"/>
              </w:rPr>
            </w:pPr>
            <w:r w:rsidRPr="00B56094">
              <w:rPr>
                <w:rFonts w:eastAsia="Times New Roman" w:cs="Arial"/>
                <w:b/>
                <w:bCs/>
                <w:sz w:val="22"/>
                <w:szCs w:val="22"/>
                <w:lang w:val="en-US" w:eastAsia="en-GB"/>
              </w:rPr>
              <w:t>TOTAL N</w:t>
            </w:r>
            <w:r>
              <w:rPr>
                <w:rFonts w:eastAsia="Times New Roman" w:cs="Arial"/>
                <w:b/>
                <w:bCs/>
                <w:sz w:val="22"/>
                <w:szCs w:val="22"/>
                <w:lang w:val="en-US" w:eastAsia="en-GB"/>
              </w:rPr>
              <w:t>E</w:t>
            </w:r>
            <w:r w:rsidRPr="00B56094">
              <w:rPr>
                <w:rFonts w:eastAsia="Times New Roman" w:cs="Arial"/>
                <w:b/>
                <w:bCs/>
                <w:sz w:val="22"/>
                <w:szCs w:val="22"/>
                <w:lang w:val="en-US" w:eastAsia="en-GB"/>
              </w:rPr>
              <w:t>CA FUNDING:</w:t>
            </w:r>
            <w:r w:rsidRPr="00B56094">
              <w:rPr>
                <w:rFonts w:eastAsia="Times New Roman" w:cs="Arial"/>
                <w:sz w:val="22"/>
                <w:szCs w:val="22"/>
                <w:lang w:eastAsia="en-GB"/>
              </w:rPr>
              <w:t> </w:t>
            </w:r>
          </w:p>
        </w:tc>
        <w:tc>
          <w:tcPr>
            <w:tcW w:w="4370" w:type="dxa"/>
            <w:shd w:val="clear" w:color="auto" w:fill="auto"/>
          </w:tcPr>
          <w:p w14:paraId="456B227D" w14:textId="53DF4971" w:rsidR="00447F98" w:rsidRPr="00B56094" w:rsidRDefault="00447F98" w:rsidP="00447F98">
            <w:pPr>
              <w:jc w:val="right"/>
              <w:textAlignment w:val="baseline"/>
              <w:rPr>
                <w:rFonts w:eastAsia="Times New Roman" w:cs="Arial"/>
                <w:sz w:val="22"/>
                <w:szCs w:val="22"/>
                <w:lang w:eastAsia="en-GB"/>
              </w:rPr>
            </w:pPr>
            <w:r>
              <w:rPr>
                <w:rFonts w:eastAsia="Times New Roman" w:cs="Arial"/>
                <w:sz w:val="22"/>
                <w:szCs w:val="22"/>
                <w:lang w:eastAsia="en-GB"/>
              </w:rPr>
              <w:t>£4,999,063</w:t>
            </w:r>
          </w:p>
        </w:tc>
      </w:tr>
      <w:tr w:rsidR="00447F98" w:rsidRPr="00B56094" w14:paraId="2F6F2B3C" w14:textId="77777777" w:rsidTr="00447F98">
        <w:trPr>
          <w:trHeight w:val="311"/>
        </w:trPr>
        <w:tc>
          <w:tcPr>
            <w:tcW w:w="5123" w:type="dxa"/>
            <w:shd w:val="clear" w:color="auto" w:fill="auto"/>
          </w:tcPr>
          <w:p w14:paraId="0724C2AD" w14:textId="77777777" w:rsidR="00447F98" w:rsidRPr="00B56094" w:rsidRDefault="00447F98" w:rsidP="00B56094">
            <w:pPr>
              <w:jc w:val="both"/>
              <w:textAlignment w:val="baseline"/>
              <w:rPr>
                <w:rFonts w:eastAsia="Times New Roman" w:cs="Arial"/>
                <w:sz w:val="22"/>
                <w:szCs w:val="22"/>
                <w:lang w:eastAsia="en-GB"/>
              </w:rPr>
            </w:pPr>
            <w:r w:rsidRPr="00B56094">
              <w:rPr>
                <w:rFonts w:eastAsia="Times New Roman" w:cs="Arial"/>
                <w:sz w:val="22"/>
                <w:szCs w:val="22"/>
                <w:lang w:eastAsia="en-GB"/>
              </w:rPr>
              <w:t>N/A</w:t>
            </w:r>
          </w:p>
        </w:tc>
        <w:tc>
          <w:tcPr>
            <w:tcW w:w="4370" w:type="dxa"/>
            <w:shd w:val="clear" w:color="auto" w:fill="auto"/>
          </w:tcPr>
          <w:p w14:paraId="284D226B" w14:textId="77777777" w:rsidR="00447F98" w:rsidRPr="00B56094" w:rsidRDefault="00447F98" w:rsidP="00B56094">
            <w:pPr>
              <w:jc w:val="both"/>
              <w:textAlignment w:val="baseline"/>
              <w:rPr>
                <w:rFonts w:eastAsia="Times New Roman" w:cs="Arial"/>
                <w:sz w:val="22"/>
                <w:szCs w:val="22"/>
                <w:lang w:eastAsia="en-GB"/>
              </w:rPr>
            </w:pPr>
          </w:p>
        </w:tc>
      </w:tr>
      <w:tr w:rsidR="00447F98" w:rsidRPr="00B56094" w14:paraId="7E9E1B07" w14:textId="77777777" w:rsidTr="00447F98">
        <w:trPr>
          <w:trHeight w:val="311"/>
        </w:trPr>
        <w:tc>
          <w:tcPr>
            <w:tcW w:w="5123" w:type="dxa"/>
            <w:shd w:val="clear" w:color="auto" w:fill="auto"/>
            <w:hideMark/>
          </w:tcPr>
          <w:p w14:paraId="56DA6D1E" w14:textId="77777777" w:rsidR="00447F98" w:rsidRPr="00B56094" w:rsidRDefault="00447F98" w:rsidP="00B56094">
            <w:pPr>
              <w:jc w:val="both"/>
              <w:textAlignment w:val="baseline"/>
              <w:rPr>
                <w:rFonts w:eastAsia="Times New Roman" w:cs="Arial"/>
                <w:sz w:val="22"/>
                <w:szCs w:val="22"/>
                <w:lang w:eastAsia="en-GB"/>
              </w:rPr>
            </w:pPr>
            <w:r w:rsidRPr="00B56094">
              <w:rPr>
                <w:rFonts w:eastAsia="Times New Roman" w:cs="Arial"/>
                <w:b/>
                <w:bCs/>
                <w:sz w:val="22"/>
                <w:szCs w:val="22"/>
                <w:lang w:val="en-US" w:eastAsia="en-GB"/>
              </w:rPr>
              <w:t>TOTAL MATCH FUNDING:</w:t>
            </w:r>
            <w:r w:rsidRPr="00B56094">
              <w:rPr>
                <w:rFonts w:eastAsia="Times New Roman" w:cs="Arial"/>
                <w:sz w:val="22"/>
                <w:szCs w:val="22"/>
                <w:lang w:eastAsia="en-GB"/>
              </w:rPr>
              <w:t> </w:t>
            </w:r>
          </w:p>
        </w:tc>
        <w:tc>
          <w:tcPr>
            <w:tcW w:w="4370" w:type="dxa"/>
            <w:shd w:val="clear" w:color="auto" w:fill="auto"/>
          </w:tcPr>
          <w:p w14:paraId="14990D50" w14:textId="3CF15BFB" w:rsidR="00447F98" w:rsidRPr="00B56094" w:rsidRDefault="00447F98" w:rsidP="00447F98">
            <w:pPr>
              <w:jc w:val="right"/>
              <w:textAlignment w:val="baseline"/>
              <w:rPr>
                <w:rFonts w:eastAsia="Times New Roman" w:cs="Arial"/>
                <w:sz w:val="22"/>
                <w:szCs w:val="22"/>
                <w:lang w:eastAsia="en-GB"/>
              </w:rPr>
            </w:pPr>
            <w:r>
              <w:rPr>
                <w:rFonts w:eastAsia="Times New Roman" w:cs="Arial"/>
                <w:sz w:val="22"/>
                <w:szCs w:val="22"/>
                <w:lang w:eastAsia="en-GB"/>
              </w:rPr>
              <w:t>£0</w:t>
            </w:r>
          </w:p>
        </w:tc>
      </w:tr>
      <w:tr w:rsidR="00447F98" w:rsidRPr="00B56094" w14:paraId="14316C8C" w14:textId="77777777" w:rsidTr="00447F98">
        <w:trPr>
          <w:trHeight w:val="311"/>
        </w:trPr>
        <w:tc>
          <w:tcPr>
            <w:tcW w:w="5123" w:type="dxa"/>
            <w:shd w:val="clear" w:color="auto" w:fill="auto"/>
            <w:hideMark/>
          </w:tcPr>
          <w:p w14:paraId="127FE6EA" w14:textId="77777777" w:rsidR="00447F98" w:rsidRPr="00B56094" w:rsidRDefault="00447F98" w:rsidP="00B56094">
            <w:pPr>
              <w:jc w:val="both"/>
              <w:textAlignment w:val="baseline"/>
              <w:rPr>
                <w:rFonts w:eastAsia="Times New Roman" w:cs="Arial"/>
                <w:sz w:val="22"/>
                <w:szCs w:val="22"/>
                <w:lang w:eastAsia="en-GB"/>
              </w:rPr>
            </w:pPr>
            <w:r w:rsidRPr="00B56094">
              <w:rPr>
                <w:rFonts w:eastAsia="Times New Roman" w:cs="Arial"/>
                <w:b/>
                <w:bCs/>
                <w:sz w:val="22"/>
                <w:szCs w:val="22"/>
                <w:lang w:val="en-US" w:eastAsia="en-GB"/>
              </w:rPr>
              <w:t>TOTAL PROJECT COST:</w:t>
            </w:r>
            <w:r w:rsidRPr="00B56094">
              <w:rPr>
                <w:rFonts w:eastAsia="Times New Roman" w:cs="Arial"/>
                <w:sz w:val="22"/>
                <w:szCs w:val="22"/>
                <w:lang w:eastAsia="en-GB"/>
              </w:rPr>
              <w:t> </w:t>
            </w:r>
          </w:p>
        </w:tc>
        <w:tc>
          <w:tcPr>
            <w:tcW w:w="4370" w:type="dxa"/>
            <w:shd w:val="clear" w:color="auto" w:fill="auto"/>
          </w:tcPr>
          <w:p w14:paraId="4FCA4CCA" w14:textId="77777777" w:rsidR="00447F98" w:rsidRPr="00B56094" w:rsidRDefault="00447F98" w:rsidP="00B56094">
            <w:pPr>
              <w:jc w:val="right"/>
              <w:textAlignment w:val="baseline"/>
              <w:rPr>
                <w:rFonts w:eastAsia="Times New Roman" w:cs="Arial"/>
                <w:sz w:val="22"/>
                <w:szCs w:val="22"/>
                <w:lang w:eastAsia="en-GB"/>
              </w:rPr>
            </w:pPr>
            <w:r w:rsidRPr="00B56094">
              <w:rPr>
                <w:rFonts w:eastAsia="Times New Roman" w:cs="Arial"/>
                <w:sz w:val="22"/>
                <w:szCs w:val="22"/>
                <w:lang w:eastAsia="en-GB"/>
              </w:rPr>
              <w:t xml:space="preserve">£4,999,063  </w:t>
            </w:r>
          </w:p>
        </w:tc>
      </w:tr>
      <w:tr w:rsidR="00447F98" w:rsidRPr="00B56094" w14:paraId="79DCCA9D" w14:textId="77777777" w:rsidTr="00447F98">
        <w:trPr>
          <w:trHeight w:val="311"/>
        </w:trPr>
        <w:tc>
          <w:tcPr>
            <w:tcW w:w="5123" w:type="dxa"/>
            <w:shd w:val="clear" w:color="auto" w:fill="auto"/>
            <w:hideMark/>
          </w:tcPr>
          <w:p w14:paraId="471DE89D" w14:textId="77777777" w:rsidR="00447F98" w:rsidRPr="00B56094" w:rsidRDefault="00447F98" w:rsidP="00B56094">
            <w:pPr>
              <w:jc w:val="both"/>
              <w:textAlignment w:val="baseline"/>
              <w:rPr>
                <w:rFonts w:eastAsia="Times New Roman" w:cs="Arial"/>
                <w:sz w:val="22"/>
                <w:szCs w:val="22"/>
                <w:lang w:eastAsia="en-GB"/>
              </w:rPr>
            </w:pPr>
            <w:r w:rsidRPr="00B56094">
              <w:rPr>
                <w:rFonts w:eastAsia="Times New Roman" w:cs="Arial"/>
                <w:b/>
                <w:bCs/>
                <w:sz w:val="22"/>
                <w:szCs w:val="22"/>
                <w:lang w:val="en-US" w:eastAsia="en-GB"/>
              </w:rPr>
              <w:t xml:space="preserve">Intervention Rate </w:t>
            </w:r>
            <w:r w:rsidRPr="00B56094">
              <w:rPr>
                <w:rFonts w:eastAsia="Times New Roman" w:cs="Arial"/>
                <w:sz w:val="22"/>
                <w:szCs w:val="22"/>
                <w:lang w:val="en-US" w:eastAsia="en-GB"/>
              </w:rPr>
              <w:t>(NTCA £ ÷ Total Project £ = IR %)</w:t>
            </w:r>
            <w:r w:rsidRPr="00B56094">
              <w:rPr>
                <w:rFonts w:eastAsia="Times New Roman" w:cs="Arial"/>
                <w:sz w:val="22"/>
                <w:szCs w:val="22"/>
                <w:lang w:eastAsia="en-GB"/>
              </w:rPr>
              <w:t> </w:t>
            </w:r>
          </w:p>
        </w:tc>
        <w:tc>
          <w:tcPr>
            <w:tcW w:w="4370" w:type="dxa"/>
            <w:shd w:val="clear" w:color="auto" w:fill="auto"/>
          </w:tcPr>
          <w:p w14:paraId="617199E3" w14:textId="77777777" w:rsidR="00447F98" w:rsidRPr="00B56094" w:rsidRDefault="00447F98" w:rsidP="00B56094">
            <w:pPr>
              <w:jc w:val="both"/>
              <w:textAlignment w:val="baseline"/>
              <w:rPr>
                <w:rFonts w:eastAsia="Times New Roman" w:cs="Arial"/>
                <w:sz w:val="22"/>
                <w:szCs w:val="22"/>
                <w:lang w:eastAsia="en-GB"/>
              </w:rPr>
            </w:pPr>
          </w:p>
        </w:tc>
      </w:tr>
    </w:tbl>
    <w:p w14:paraId="4502660A" w14:textId="77777777" w:rsidR="00C3483E" w:rsidRPr="00C3483E" w:rsidRDefault="00C3483E" w:rsidP="00363F19">
      <w:pPr>
        <w:pStyle w:val="NoSpacing"/>
        <w:rPr>
          <w:rFonts w:cs="Arial"/>
          <w:sz w:val="22"/>
          <w:szCs w:val="22"/>
        </w:rPr>
      </w:pPr>
    </w:p>
    <w:p w14:paraId="7EAD0A37" w14:textId="60B9B6C8" w:rsidR="00B56094" w:rsidRPr="00C3483E" w:rsidRDefault="00B56094" w:rsidP="00291BA6">
      <w:pPr>
        <w:pStyle w:val="NoSpacing"/>
        <w:numPr>
          <w:ilvl w:val="1"/>
          <w:numId w:val="40"/>
        </w:numPr>
        <w:ind w:left="567" w:hanging="567"/>
        <w:jc w:val="both"/>
        <w:rPr>
          <w:rFonts w:cs="Arial"/>
          <w:sz w:val="22"/>
          <w:szCs w:val="22"/>
        </w:rPr>
      </w:pPr>
      <w:r w:rsidRPr="1E60542B">
        <w:rPr>
          <w:rFonts w:eastAsia="Times New Roman" w:cs="Arial"/>
          <w:sz w:val="22"/>
          <w:szCs w:val="22"/>
          <w:lang w:eastAsia="en-GB"/>
        </w:rPr>
        <w:t xml:space="preserve">No match funding has been provided by Newcastle City Council for this specific intervention. However, it is important to note that as part of the council’s collaborative approach to the Forth Yards opportunity with Homes England, Network Rail, </w:t>
      </w:r>
      <w:proofErr w:type="gramStart"/>
      <w:r w:rsidRPr="1E60542B">
        <w:rPr>
          <w:rFonts w:eastAsia="Times New Roman" w:cs="Arial"/>
          <w:sz w:val="22"/>
          <w:szCs w:val="22"/>
          <w:lang w:eastAsia="en-GB"/>
        </w:rPr>
        <w:t>North East</w:t>
      </w:r>
      <w:proofErr w:type="gramEnd"/>
      <w:r w:rsidRPr="1E60542B">
        <w:rPr>
          <w:rFonts w:eastAsia="Times New Roman" w:cs="Arial"/>
          <w:sz w:val="22"/>
          <w:szCs w:val="22"/>
          <w:lang w:eastAsia="en-GB"/>
        </w:rPr>
        <w:t xml:space="preserve"> </w:t>
      </w:r>
      <w:r w:rsidR="00774ED3" w:rsidRPr="1E60542B">
        <w:rPr>
          <w:rFonts w:eastAsia="Times New Roman" w:cs="Arial"/>
          <w:sz w:val="22"/>
          <w:szCs w:val="22"/>
          <w:lang w:eastAsia="en-GB"/>
        </w:rPr>
        <w:t>CA</w:t>
      </w:r>
      <w:r w:rsidRPr="1E60542B">
        <w:rPr>
          <w:rFonts w:eastAsia="Times New Roman" w:cs="Arial"/>
          <w:sz w:val="22"/>
          <w:szCs w:val="22"/>
          <w:lang w:eastAsia="en-GB"/>
        </w:rPr>
        <w:t xml:space="preserve"> and DLUHC, substantial resource has been put towards the delivery of the Forth Yards vision to date. Whilst these contributions sit outside this project, their added value provides a level of justification for the lack of direct match funding</w:t>
      </w:r>
      <w:r w:rsidR="00C3483E" w:rsidRPr="1E60542B">
        <w:rPr>
          <w:rFonts w:eastAsia="Times New Roman" w:cs="Arial"/>
          <w:sz w:val="22"/>
          <w:szCs w:val="22"/>
          <w:lang w:eastAsia="en-GB"/>
        </w:rPr>
        <w:t>.</w:t>
      </w:r>
    </w:p>
    <w:p w14:paraId="395F1F52" w14:textId="030B396C" w:rsidR="00C3483E" w:rsidRPr="00C3483E" w:rsidRDefault="00C3483E" w:rsidP="06E70375">
      <w:pPr>
        <w:pStyle w:val="NoSpacing"/>
        <w:ind w:left="360" w:hanging="360"/>
        <w:jc w:val="both"/>
        <w:rPr>
          <w:rFonts w:eastAsia="Times New Roman" w:cs="Arial"/>
          <w:sz w:val="22"/>
          <w:szCs w:val="22"/>
          <w:lang w:eastAsia="en-GB"/>
        </w:rPr>
      </w:pPr>
    </w:p>
    <w:p w14:paraId="6E5E20B6" w14:textId="567D83CC" w:rsidR="00C3483E" w:rsidRPr="006013D9" w:rsidRDefault="00C3483E" w:rsidP="00291BA6">
      <w:pPr>
        <w:pStyle w:val="NoSpacing"/>
        <w:numPr>
          <w:ilvl w:val="1"/>
          <w:numId w:val="40"/>
        </w:numPr>
        <w:ind w:left="567" w:hanging="567"/>
        <w:jc w:val="both"/>
        <w:rPr>
          <w:rFonts w:cs="Arial"/>
          <w:sz w:val="22"/>
          <w:szCs w:val="22"/>
        </w:rPr>
      </w:pPr>
      <w:r w:rsidRPr="006013D9">
        <w:rPr>
          <w:rFonts w:cs="Arial"/>
          <w:color w:val="000000" w:themeColor="text1"/>
          <w:sz w:val="22"/>
          <w:szCs w:val="22"/>
        </w:rPr>
        <w:t>Value for Money Summary</w:t>
      </w:r>
    </w:p>
    <w:p w14:paraId="1B37B11A" w14:textId="77777777" w:rsidR="00C3483E" w:rsidRPr="00C3483E" w:rsidRDefault="00C3483E" w:rsidP="00C3483E">
      <w:pPr>
        <w:pStyle w:val="NoSpacing"/>
        <w:jc w:val="both"/>
        <w:rPr>
          <w:rFonts w:cs="Arial"/>
          <w:sz w:val="22"/>
          <w:szCs w:val="22"/>
        </w:rPr>
      </w:pPr>
    </w:p>
    <w:p w14:paraId="2C19CC79" w14:textId="77777777" w:rsidR="00C3483E" w:rsidRDefault="00C3483E" w:rsidP="00291BA6">
      <w:pPr>
        <w:ind w:left="567"/>
        <w:jc w:val="both"/>
        <w:textAlignment w:val="baseline"/>
        <w:rPr>
          <w:rFonts w:cs="Arial"/>
          <w:sz w:val="22"/>
          <w:szCs w:val="22"/>
        </w:rPr>
      </w:pPr>
      <w:proofErr w:type="gramStart"/>
      <w:r w:rsidRPr="00C3483E">
        <w:rPr>
          <w:rFonts w:cs="Arial"/>
          <w:sz w:val="22"/>
          <w:szCs w:val="22"/>
        </w:rPr>
        <w:t>On the basis of</w:t>
      </w:r>
      <w:proofErr w:type="gramEnd"/>
      <w:r w:rsidRPr="00C3483E">
        <w:rPr>
          <w:rFonts w:cs="Arial"/>
          <w:sz w:val="22"/>
          <w:szCs w:val="22"/>
        </w:rPr>
        <w:t xml:space="preserve"> the information provided by Newcastle City Council and the associated analysis, the appraisal summary table is displayed below. </w:t>
      </w:r>
    </w:p>
    <w:p w14:paraId="5BEC17E4" w14:textId="77777777" w:rsidR="00447F98" w:rsidRDefault="00447F98" w:rsidP="00C3483E">
      <w:pPr>
        <w:ind w:left="360"/>
        <w:jc w:val="both"/>
        <w:textAlignment w:val="baseline"/>
        <w:rPr>
          <w:rFonts w:cs="Arial"/>
          <w:sz w:val="22"/>
          <w:szCs w:val="22"/>
        </w:rPr>
      </w:pPr>
    </w:p>
    <w:p w14:paraId="18C44DF1" w14:textId="77777777" w:rsidR="00447F98" w:rsidRPr="00C3483E" w:rsidRDefault="00447F98" w:rsidP="00C3483E">
      <w:pPr>
        <w:ind w:left="360"/>
        <w:jc w:val="both"/>
        <w:textAlignment w:val="baseline"/>
        <w:rPr>
          <w:rFonts w:cs="Arial"/>
          <w:sz w:val="22"/>
          <w:szCs w:val="22"/>
        </w:rPr>
      </w:pPr>
    </w:p>
    <w:p w14:paraId="74C5F63A" w14:textId="77777777" w:rsidR="00C3483E" w:rsidRPr="00C3483E" w:rsidRDefault="00C3483E" w:rsidP="00C3483E">
      <w:pPr>
        <w:textAlignment w:val="baseline"/>
        <w:rPr>
          <w:rFonts w:cs="Arial"/>
          <w:color w:val="000000" w:themeColor="text1"/>
          <w:sz w:val="22"/>
          <w:szCs w:val="22"/>
        </w:rPr>
      </w:pPr>
    </w:p>
    <w:tbl>
      <w:tblPr>
        <w:tblStyle w:val="AY"/>
        <w:tblW w:w="9542" w:type="dxa"/>
        <w:jc w:val="center"/>
        <w:tblLook w:val="04A0" w:firstRow="1" w:lastRow="0" w:firstColumn="1" w:lastColumn="0" w:noHBand="0" w:noVBand="1"/>
      </w:tblPr>
      <w:tblGrid>
        <w:gridCol w:w="611"/>
        <w:gridCol w:w="6069"/>
        <w:gridCol w:w="2862"/>
      </w:tblGrid>
      <w:tr w:rsidR="00C3483E" w:rsidRPr="00C3483E" w14:paraId="6C34BEB7" w14:textId="77777777">
        <w:trPr>
          <w:cnfStyle w:val="100000000000" w:firstRow="1" w:lastRow="0" w:firstColumn="0" w:lastColumn="0" w:oddVBand="0" w:evenVBand="0" w:oddHBand="0" w:evenHBand="0" w:firstRowFirstColumn="0" w:firstRowLastColumn="0" w:lastRowFirstColumn="0" w:lastRowLastColumn="0"/>
          <w:trHeight w:val="456"/>
          <w:jc w:val="center"/>
        </w:trPr>
        <w:tc>
          <w:tcPr>
            <w:tcW w:w="611" w:type="dxa"/>
          </w:tcPr>
          <w:p w14:paraId="6983F8B8" w14:textId="77777777" w:rsidR="00C3483E" w:rsidRPr="00C3483E" w:rsidRDefault="00C3483E">
            <w:pPr>
              <w:rPr>
                <w:rFonts w:eastAsia="Times New Roman" w:cs="Arial"/>
                <w:b/>
                <w:bCs/>
                <w:color w:val="353F52"/>
                <w:sz w:val="22"/>
                <w:szCs w:val="22"/>
                <w:lang w:eastAsia="en-GB"/>
              </w:rPr>
            </w:pPr>
          </w:p>
        </w:tc>
        <w:tc>
          <w:tcPr>
            <w:tcW w:w="6069" w:type="dxa"/>
            <w:noWrap/>
            <w:hideMark/>
          </w:tcPr>
          <w:p w14:paraId="06E9892F" w14:textId="77777777" w:rsidR="00C3483E" w:rsidRPr="00C3483E" w:rsidRDefault="00C3483E">
            <w:pPr>
              <w:rPr>
                <w:rFonts w:eastAsia="Times New Roman" w:cs="Arial"/>
                <w:b/>
                <w:bCs/>
                <w:color w:val="353F52"/>
                <w:sz w:val="22"/>
                <w:szCs w:val="22"/>
                <w:lang w:eastAsia="en-GB"/>
              </w:rPr>
            </w:pPr>
            <w:r w:rsidRPr="00C3483E">
              <w:rPr>
                <w:rFonts w:eastAsia="Times New Roman" w:cs="Arial"/>
                <w:b/>
                <w:bCs/>
                <w:color w:val="353F52"/>
                <w:sz w:val="22"/>
                <w:szCs w:val="22"/>
                <w:lang w:eastAsia="en-GB"/>
              </w:rPr>
              <w:t> </w:t>
            </w:r>
          </w:p>
        </w:tc>
        <w:tc>
          <w:tcPr>
            <w:tcW w:w="2862" w:type="dxa"/>
            <w:noWrap/>
            <w:hideMark/>
          </w:tcPr>
          <w:p w14:paraId="4840777C" w14:textId="77777777" w:rsidR="00C3483E" w:rsidRPr="00C3483E" w:rsidRDefault="00C3483E">
            <w:pPr>
              <w:jc w:val="right"/>
              <w:rPr>
                <w:rFonts w:eastAsia="Times New Roman" w:cs="Arial"/>
                <w:b/>
                <w:bCs/>
                <w:sz w:val="22"/>
                <w:szCs w:val="22"/>
                <w:lang w:eastAsia="en-GB"/>
              </w:rPr>
            </w:pPr>
            <w:r w:rsidRPr="00C3483E">
              <w:rPr>
                <w:rFonts w:eastAsia="Times New Roman" w:cs="Arial"/>
                <w:b/>
                <w:bCs/>
                <w:sz w:val="22"/>
                <w:szCs w:val="22"/>
                <w:lang w:eastAsia="en-GB"/>
              </w:rPr>
              <w:t>Preferred Option</w:t>
            </w:r>
          </w:p>
        </w:tc>
      </w:tr>
      <w:tr w:rsidR="00C3483E" w:rsidRPr="00C3483E" w14:paraId="5037369A" w14:textId="77777777">
        <w:trPr>
          <w:cnfStyle w:val="000000100000" w:firstRow="0" w:lastRow="0" w:firstColumn="0" w:lastColumn="0" w:oddVBand="0" w:evenVBand="0" w:oddHBand="1" w:evenHBand="0" w:firstRowFirstColumn="0" w:firstRowLastColumn="0" w:lastRowFirstColumn="0" w:lastRowLastColumn="0"/>
          <w:trHeight w:val="384"/>
          <w:jc w:val="center"/>
        </w:trPr>
        <w:tc>
          <w:tcPr>
            <w:tcW w:w="611" w:type="dxa"/>
          </w:tcPr>
          <w:p w14:paraId="3E85572F" w14:textId="77777777" w:rsidR="00C3483E" w:rsidRPr="00C3483E" w:rsidRDefault="00C3483E">
            <w:pPr>
              <w:rPr>
                <w:rFonts w:eastAsia="Times New Roman" w:cs="Arial"/>
                <w:sz w:val="22"/>
                <w:szCs w:val="22"/>
                <w:lang w:eastAsia="en-GB"/>
              </w:rPr>
            </w:pPr>
            <w:r w:rsidRPr="00C3483E">
              <w:rPr>
                <w:rFonts w:eastAsia="Times New Roman" w:cs="Arial"/>
                <w:sz w:val="22"/>
                <w:szCs w:val="22"/>
                <w:lang w:eastAsia="en-GB"/>
              </w:rPr>
              <w:t>A</w:t>
            </w:r>
          </w:p>
        </w:tc>
        <w:tc>
          <w:tcPr>
            <w:tcW w:w="6069" w:type="dxa"/>
            <w:hideMark/>
          </w:tcPr>
          <w:p w14:paraId="1C6E84B6" w14:textId="77777777" w:rsidR="00C3483E" w:rsidRPr="00C3483E" w:rsidRDefault="00C3483E">
            <w:pPr>
              <w:rPr>
                <w:rFonts w:eastAsia="Times New Roman" w:cs="Arial"/>
                <w:sz w:val="22"/>
                <w:szCs w:val="22"/>
                <w:lang w:eastAsia="en-GB"/>
              </w:rPr>
            </w:pPr>
            <w:r w:rsidRPr="00C3483E">
              <w:rPr>
                <w:rFonts w:eastAsia="Times New Roman" w:cs="Arial"/>
                <w:sz w:val="22"/>
                <w:szCs w:val="22"/>
                <w:lang w:eastAsia="en-GB"/>
              </w:rPr>
              <w:t>Present Value Benefits - Initial (£m)</w:t>
            </w:r>
          </w:p>
        </w:tc>
        <w:tc>
          <w:tcPr>
            <w:tcW w:w="2862" w:type="dxa"/>
            <w:noWrap/>
            <w:hideMark/>
          </w:tcPr>
          <w:p w14:paraId="56E5FD67" w14:textId="77777777" w:rsidR="00C3483E" w:rsidRPr="00C3483E" w:rsidRDefault="00C3483E">
            <w:pPr>
              <w:jc w:val="right"/>
              <w:rPr>
                <w:rFonts w:eastAsia="Times New Roman" w:cs="Arial"/>
                <w:b/>
                <w:bCs/>
                <w:sz w:val="22"/>
                <w:szCs w:val="22"/>
                <w:lang w:eastAsia="en-GB"/>
              </w:rPr>
            </w:pPr>
            <w:r w:rsidRPr="00C3483E">
              <w:rPr>
                <w:rFonts w:cs="Arial"/>
                <w:sz w:val="22"/>
                <w:szCs w:val="22"/>
              </w:rPr>
              <w:t xml:space="preserve">£10,581,455 </w:t>
            </w:r>
          </w:p>
        </w:tc>
      </w:tr>
      <w:tr w:rsidR="00C3483E" w:rsidRPr="00C3483E" w14:paraId="6C508FDA" w14:textId="77777777">
        <w:trPr>
          <w:trHeight w:val="384"/>
          <w:jc w:val="center"/>
        </w:trPr>
        <w:tc>
          <w:tcPr>
            <w:tcW w:w="611" w:type="dxa"/>
          </w:tcPr>
          <w:p w14:paraId="71369825" w14:textId="77777777" w:rsidR="00C3483E" w:rsidRPr="00C3483E" w:rsidRDefault="00C3483E">
            <w:pPr>
              <w:ind w:firstLineChars="100" w:firstLine="220"/>
              <w:rPr>
                <w:rFonts w:eastAsia="Times New Roman" w:cs="Arial"/>
                <w:sz w:val="22"/>
                <w:szCs w:val="22"/>
                <w:lang w:eastAsia="en-GB"/>
              </w:rPr>
            </w:pPr>
          </w:p>
        </w:tc>
        <w:tc>
          <w:tcPr>
            <w:tcW w:w="6069" w:type="dxa"/>
            <w:hideMark/>
          </w:tcPr>
          <w:p w14:paraId="5677BA5A" w14:textId="77777777" w:rsidR="00C3483E" w:rsidRPr="00C3483E" w:rsidRDefault="00C3483E">
            <w:pPr>
              <w:ind w:firstLineChars="100" w:firstLine="220"/>
              <w:rPr>
                <w:rFonts w:eastAsia="Times New Roman" w:cs="Arial"/>
                <w:sz w:val="22"/>
                <w:szCs w:val="22"/>
                <w:lang w:eastAsia="en-GB"/>
              </w:rPr>
            </w:pPr>
            <w:r w:rsidRPr="00C3483E">
              <w:rPr>
                <w:rFonts w:eastAsia="Times New Roman" w:cs="Arial"/>
                <w:sz w:val="22"/>
                <w:szCs w:val="22"/>
                <w:lang w:eastAsia="en-GB"/>
              </w:rPr>
              <w:t>Land Value Uplift</w:t>
            </w:r>
          </w:p>
        </w:tc>
        <w:tc>
          <w:tcPr>
            <w:tcW w:w="2862" w:type="dxa"/>
            <w:noWrap/>
            <w:hideMark/>
          </w:tcPr>
          <w:p w14:paraId="4A34F2B9" w14:textId="77777777" w:rsidR="00C3483E" w:rsidRPr="00C3483E" w:rsidRDefault="00C3483E">
            <w:pPr>
              <w:jc w:val="right"/>
              <w:rPr>
                <w:rFonts w:eastAsia="Times New Roman" w:cs="Arial"/>
                <w:sz w:val="22"/>
                <w:szCs w:val="22"/>
                <w:lang w:eastAsia="en-GB"/>
              </w:rPr>
            </w:pPr>
            <w:r w:rsidRPr="00C3483E">
              <w:rPr>
                <w:rFonts w:cs="Arial"/>
                <w:sz w:val="22"/>
                <w:szCs w:val="22"/>
              </w:rPr>
              <w:t>£10,581,455</w:t>
            </w:r>
          </w:p>
        </w:tc>
      </w:tr>
      <w:tr w:rsidR="00C3483E" w:rsidRPr="00C3483E" w14:paraId="25D3CD01" w14:textId="77777777">
        <w:trPr>
          <w:cnfStyle w:val="000000100000" w:firstRow="0" w:lastRow="0" w:firstColumn="0" w:lastColumn="0" w:oddVBand="0" w:evenVBand="0" w:oddHBand="1" w:evenHBand="0" w:firstRowFirstColumn="0" w:firstRowLastColumn="0" w:lastRowFirstColumn="0" w:lastRowLastColumn="0"/>
          <w:trHeight w:val="384"/>
          <w:jc w:val="center"/>
        </w:trPr>
        <w:tc>
          <w:tcPr>
            <w:tcW w:w="611" w:type="dxa"/>
          </w:tcPr>
          <w:p w14:paraId="69AB8691" w14:textId="77777777" w:rsidR="00C3483E" w:rsidRPr="00C3483E" w:rsidRDefault="00C3483E">
            <w:pPr>
              <w:rPr>
                <w:rFonts w:eastAsia="Times New Roman" w:cs="Arial"/>
                <w:sz w:val="22"/>
                <w:szCs w:val="22"/>
                <w:lang w:eastAsia="en-GB"/>
              </w:rPr>
            </w:pPr>
            <w:r w:rsidRPr="00C3483E">
              <w:rPr>
                <w:rFonts w:eastAsia="Times New Roman" w:cs="Arial"/>
                <w:sz w:val="22"/>
                <w:szCs w:val="22"/>
                <w:lang w:eastAsia="en-GB"/>
              </w:rPr>
              <w:lastRenderedPageBreak/>
              <w:t>B</w:t>
            </w:r>
          </w:p>
        </w:tc>
        <w:tc>
          <w:tcPr>
            <w:tcW w:w="6069" w:type="dxa"/>
            <w:hideMark/>
          </w:tcPr>
          <w:p w14:paraId="745669ED" w14:textId="77777777" w:rsidR="00C3483E" w:rsidRPr="00C3483E" w:rsidRDefault="00C3483E">
            <w:pPr>
              <w:rPr>
                <w:rFonts w:eastAsia="Times New Roman" w:cs="Arial"/>
                <w:sz w:val="22"/>
                <w:szCs w:val="22"/>
                <w:lang w:eastAsia="en-GB"/>
              </w:rPr>
            </w:pPr>
            <w:r w:rsidRPr="00C3483E">
              <w:rPr>
                <w:rFonts w:eastAsia="Times New Roman" w:cs="Arial"/>
                <w:sz w:val="22"/>
                <w:szCs w:val="22"/>
                <w:lang w:eastAsia="en-GB"/>
              </w:rPr>
              <w:t>Present Value Benefits - Adjusted (£m)</w:t>
            </w:r>
          </w:p>
        </w:tc>
        <w:tc>
          <w:tcPr>
            <w:tcW w:w="2862" w:type="dxa"/>
            <w:noWrap/>
            <w:hideMark/>
          </w:tcPr>
          <w:p w14:paraId="322A8F9A" w14:textId="77777777" w:rsidR="00C3483E" w:rsidRPr="00C3483E" w:rsidRDefault="00C3483E">
            <w:pPr>
              <w:jc w:val="right"/>
              <w:rPr>
                <w:rFonts w:eastAsia="Times New Roman" w:cs="Arial"/>
                <w:b/>
                <w:bCs/>
                <w:sz w:val="22"/>
                <w:szCs w:val="22"/>
                <w:lang w:eastAsia="en-GB"/>
              </w:rPr>
            </w:pPr>
            <w:r w:rsidRPr="00C3483E">
              <w:rPr>
                <w:rFonts w:cs="Arial"/>
                <w:sz w:val="22"/>
                <w:szCs w:val="22"/>
              </w:rPr>
              <w:t xml:space="preserve">£11,983,522 </w:t>
            </w:r>
          </w:p>
        </w:tc>
      </w:tr>
      <w:tr w:rsidR="00C3483E" w:rsidRPr="00C3483E" w14:paraId="41819861" w14:textId="77777777">
        <w:trPr>
          <w:trHeight w:val="384"/>
          <w:jc w:val="center"/>
        </w:trPr>
        <w:tc>
          <w:tcPr>
            <w:tcW w:w="611" w:type="dxa"/>
          </w:tcPr>
          <w:p w14:paraId="496C72D5" w14:textId="77777777" w:rsidR="00C3483E" w:rsidRPr="00C3483E" w:rsidRDefault="00C3483E">
            <w:pPr>
              <w:ind w:firstLineChars="100" w:firstLine="220"/>
              <w:rPr>
                <w:rFonts w:eastAsia="Times New Roman" w:cs="Arial"/>
                <w:sz w:val="22"/>
                <w:szCs w:val="22"/>
                <w:lang w:eastAsia="en-GB"/>
              </w:rPr>
            </w:pPr>
          </w:p>
        </w:tc>
        <w:tc>
          <w:tcPr>
            <w:tcW w:w="6069" w:type="dxa"/>
            <w:hideMark/>
          </w:tcPr>
          <w:p w14:paraId="607E3C8E" w14:textId="77777777" w:rsidR="00C3483E" w:rsidRPr="00C3483E" w:rsidRDefault="00C3483E">
            <w:pPr>
              <w:ind w:firstLineChars="100" w:firstLine="220"/>
              <w:rPr>
                <w:rFonts w:eastAsia="Times New Roman" w:cs="Arial"/>
                <w:sz w:val="22"/>
                <w:szCs w:val="22"/>
                <w:lang w:eastAsia="en-GB"/>
              </w:rPr>
            </w:pPr>
            <w:r w:rsidRPr="00C3483E">
              <w:rPr>
                <w:rFonts w:eastAsia="Times New Roman" w:cs="Arial"/>
                <w:sz w:val="22"/>
                <w:szCs w:val="22"/>
                <w:lang w:eastAsia="en-GB"/>
              </w:rPr>
              <w:t xml:space="preserve">Removal of brownfield </w:t>
            </w:r>
            <w:proofErr w:type="spellStart"/>
            <w:r w:rsidRPr="00C3483E">
              <w:rPr>
                <w:rFonts w:eastAsia="Times New Roman" w:cs="Arial"/>
                <w:sz w:val="22"/>
                <w:szCs w:val="22"/>
                <w:lang w:eastAsia="en-GB"/>
              </w:rPr>
              <w:t>disamenity</w:t>
            </w:r>
            <w:proofErr w:type="spellEnd"/>
            <w:r w:rsidRPr="00C3483E">
              <w:rPr>
                <w:rFonts w:eastAsia="Times New Roman" w:cs="Arial"/>
                <w:sz w:val="22"/>
                <w:szCs w:val="22"/>
                <w:lang w:eastAsia="en-GB"/>
              </w:rPr>
              <w:t xml:space="preserve"> </w:t>
            </w:r>
          </w:p>
        </w:tc>
        <w:tc>
          <w:tcPr>
            <w:tcW w:w="2862" w:type="dxa"/>
            <w:noWrap/>
            <w:hideMark/>
          </w:tcPr>
          <w:p w14:paraId="65E5F1FE" w14:textId="77777777" w:rsidR="00C3483E" w:rsidRPr="00C3483E" w:rsidRDefault="00C3483E">
            <w:pPr>
              <w:jc w:val="right"/>
              <w:rPr>
                <w:rFonts w:eastAsia="Times New Roman" w:cs="Arial"/>
                <w:sz w:val="22"/>
                <w:szCs w:val="22"/>
                <w:lang w:eastAsia="en-GB"/>
              </w:rPr>
            </w:pPr>
            <w:r w:rsidRPr="00C3483E">
              <w:rPr>
                <w:rFonts w:cs="Arial"/>
                <w:sz w:val="22"/>
                <w:szCs w:val="22"/>
              </w:rPr>
              <w:t>£11,983,522</w:t>
            </w:r>
          </w:p>
        </w:tc>
      </w:tr>
      <w:tr w:rsidR="00C3483E" w:rsidRPr="00C3483E" w14:paraId="5B08C035" w14:textId="77777777">
        <w:trPr>
          <w:cnfStyle w:val="000000100000" w:firstRow="0" w:lastRow="0" w:firstColumn="0" w:lastColumn="0" w:oddVBand="0" w:evenVBand="0" w:oddHBand="1" w:evenHBand="0" w:firstRowFirstColumn="0" w:firstRowLastColumn="0" w:lastRowFirstColumn="0" w:lastRowLastColumn="0"/>
          <w:trHeight w:val="384"/>
          <w:jc w:val="center"/>
        </w:trPr>
        <w:tc>
          <w:tcPr>
            <w:tcW w:w="611" w:type="dxa"/>
          </w:tcPr>
          <w:p w14:paraId="23BFABCA" w14:textId="77777777" w:rsidR="00C3483E" w:rsidRPr="00C3483E" w:rsidRDefault="00C3483E">
            <w:pPr>
              <w:rPr>
                <w:rFonts w:eastAsia="Times New Roman" w:cs="Arial"/>
                <w:sz w:val="22"/>
                <w:szCs w:val="22"/>
                <w:lang w:eastAsia="en-GB"/>
              </w:rPr>
            </w:pPr>
            <w:r w:rsidRPr="00C3483E">
              <w:rPr>
                <w:rFonts w:eastAsia="Times New Roman" w:cs="Arial"/>
                <w:sz w:val="22"/>
                <w:szCs w:val="22"/>
                <w:lang w:eastAsia="en-GB"/>
              </w:rPr>
              <w:t>C</w:t>
            </w:r>
          </w:p>
        </w:tc>
        <w:tc>
          <w:tcPr>
            <w:tcW w:w="6069" w:type="dxa"/>
            <w:hideMark/>
          </w:tcPr>
          <w:p w14:paraId="0B2E231A" w14:textId="77777777" w:rsidR="00C3483E" w:rsidRPr="00C3483E" w:rsidRDefault="00C3483E">
            <w:pPr>
              <w:rPr>
                <w:rFonts w:eastAsia="Times New Roman" w:cs="Arial"/>
                <w:sz w:val="22"/>
                <w:szCs w:val="22"/>
                <w:lang w:eastAsia="en-GB"/>
              </w:rPr>
            </w:pPr>
            <w:r w:rsidRPr="00C3483E">
              <w:rPr>
                <w:rFonts w:eastAsia="Times New Roman" w:cs="Arial"/>
                <w:sz w:val="22"/>
                <w:szCs w:val="22"/>
                <w:lang w:eastAsia="en-GB"/>
              </w:rPr>
              <w:t>Present Value Costs (£m)</w:t>
            </w:r>
          </w:p>
        </w:tc>
        <w:tc>
          <w:tcPr>
            <w:tcW w:w="2862" w:type="dxa"/>
            <w:noWrap/>
            <w:hideMark/>
          </w:tcPr>
          <w:p w14:paraId="04055133" w14:textId="77777777" w:rsidR="00C3483E" w:rsidRPr="00C3483E" w:rsidRDefault="00C3483E">
            <w:pPr>
              <w:jc w:val="right"/>
              <w:rPr>
                <w:rFonts w:eastAsia="Times New Roman" w:cs="Arial"/>
                <w:b/>
                <w:bCs/>
                <w:sz w:val="22"/>
                <w:szCs w:val="22"/>
                <w:lang w:eastAsia="en-GB"/>
              </w:rPr>
            </w:pPr>
            <w:r w:rsidRPr="00C3483E">
              <w:rPr>
                <w:rFonts w:cs="Arial"/>
                <w:sz w:val="22"/>
                <w:szCs w:val="22"/>
              </w:rPr>
              <w:t xml:space="preserve">£7,128,664 </w:t>
            </w:r>
          </w:p>
        </w:tc>
      </w:tr>
      <w:tr w:rsidR="00C3483E" w:rsidRPr="00C3483E" w14:paraId="0A2D93C6" w14:textId="77777777">
        <w:trPr>
          <w:trHeight w:val="384"/>
          <w:jc w:val="center"/>
        </w:trPr>
        <w:tc>
          <w:tcPr>
            <w:tcW w:w="611" w:type="dxa"/>
          </w:tcPr>
          <w:p w14:paraId="79C2914F" w14:textId="77777777" w:rsidR="00C3483E" w:rsidRPr="00C3483E" w:rsidRDefault="00C3483E">
            <w:pPr>
              <w:rPr>
                <w:rFonts w:eastAsia="Times New Roman" w:cs="Arial"/>
                <w:sz w:val="22"/>
                <w:szCs w:val="22"/>
                <w:lang w:eastAsia="en-GB"/>
              </w:rPr>
            </w:pPr>
          </w:p>
        </w:tc>
        <w:tc>
          <w:tcPr>
            <w:tcW w:w="6069" w:type="dxa"/>
            <w:hideMark/>
          </w:tcPr>
          <w:p w14:paraId="384D7EA8" w14:textId="77777777" w:rsidR="00C3483E" w:rsidRPr="00C3483E" w:rsidRDefault="00C3483E">
            <w:pPr>
              <w:rPr>
                <w:rFonts w:eastAsia="Times New Roman" w:cs="Arial"/>
                <w:sz w:val="22"/>
                <w:szCs w:val="22"/>
                <w:lang w:eastAsia="en-GB"/>
              </w:rPr>
            </w:pPr>
            <w:r w:rsidRPr="00C3483E">
              <w:rPr>
                <w:rFonts w:eastAsia="Times New Roman" w:cs="Arial"/>
                <w:sz w:val="22"/>
                <w:szCs w:val="22"/>
                <w:lang w:eastAsia="en-GB"/>
              </w:rPr>
              <w:t>Net Present Public Value (£m) [A-C] or [A-C+B]</w:t>
            </w:r>
          </w:p>
        </w:tc>
        <w:tc>
          <w:tcPr>
            <w:tcW w:w="2862" w:type="dxa"/>
            <w:noWrap/>
            <w:hideMark/>
          </w:tcPr>
          <w:p w14:paraId="1000CFB9" w14:textId="77777777" w:rsidR="00C3483E" w:rsidRPr="00C3483E" w:rsidRDefault="00C3483E">
            <w:pPr>
              <w:jc w:val="right"/>
              <w:rPr>
                <w:rFonts w:eastAsia="Times New Roman" w:cs="Arial"/>
                <w:sz w:val="22"/>
                <w:szCs w:val="22"/>
                <w:lang w:eastAsia="en-GB"/>
              </w:rPr>
            </w:pPr>
            <w:r w:rsidRPr="00C3483E">
              <w:rPr>
                <w:rFonts w:cs="Arial"/>
                <w:sz w:val="22"/>
                <w:szCs w:val="22"/>
              </w:rPr>
              <w:t>£15,436,313</w:t>
            </w:r>
          </w:p>
        </w:tc>
      </w:tr>
      <w:tr w:rsidR="00C3483E" w:rsidRPr="00C3483E" w14:paraId="624D51E6" w14:textId="77777777">
        <w:trPr>
          <w:cnfStyle w:val="000000100000" w:firstRow="0" w:lastRow="0" w:firstColumn="0" w:lastColumn="0" w:oddVBand="0" w:evenVBand="0" w:oddHBand="1" w:evenHBand="0" w:firstRowFirstColumn="0" w:firstRowLastColumn="0" w:lastRowFirstColumn="0" w:lastRowLastColumn="0"/>
          <w:trHeight w:val="384"/>
          <w:jc w:val="center"/>
        </w:trPr>
        <w:tc>
          <w:tcPr>
            <w:tcW w:w="611" w:type="dxa"/>
          </w:tcPr>
          <w:p w14:paraId="118AC2D0" w14:textId="77777777" w:rsidR="00C3483E" w:rsidRPr="00C3483E" w:rsidRDefault="00C3483E">
            <w:pPr>
              <w:rPr>
                <w:rFonts w:eastAsia="Times New Roman" w:cs="Arial"/>
                <w:sz w:val="22"/>
                <w:szCs w:val="22"/>
                <w:lang w:eastAsia="en-GB"/>
              </w:rPr>
            </w:pPr>
          </w:p>
        </w:tc>
        <w:tc>
          <w:tcPr>
            <w:tcW w:w="6069" w:type="dxa"/>
            <w:hideMark/>
          </w:tcPr>
          <w:p w14:paraId="13605BAA" w14:textId="77777777" w:rsidR="00C3483E" w:rsidRPr="00C3483E" w:rsidRDefault="00C3483E">
            <w:pPr>
              <w:rPr>
                <w:rFonts w:eastAsia="Times New Roman" w:cs="Arial"/>
                <w:sz w:val="22"/>
                <w:szCs w:val="22"/>
                <w:lang w:eastAsia="en-GB"/>
              </w:rPr>
            </w:pPr>
            <w:r w:rsidRPr="00C3483E">
              <w:rPr>
                <w:rFonts w:eastAsia="Times New Roman" w:cs="Arial"/>
                <w:sz w:val="22"/>
                <w:szCs w:val="22"/>
                <w:lang w:eastAsia="en-GB"/>
              </w:rPr>
              <w:t>Initial Benefit-Cost Ratio [A / C]</w:t>
            </w:r>
          </w:p>
        </w:tc>
        <w:tc>
          <w:tcPr>
            <w:tcW w:w="2862" w:type="dxa"/>
            <w:noWrap/>
            <w:hideMark/>
          </w:tcPr>
          <w:p w14:paraId="72A941C7" w14:textId="77777777" w:rsidR="00C3483E" w:rsidRPr="00C3483E" w:rsidRDefault="00C3483E">
            <w:pPr>
              <w:jc w:val="right"/>
              <w:rPr>
                <w:rFonts w:eastAsia="Times New Roman" w:cs="Arial"/>
                <w:sz w:val="22"/>
                <w:szCs w:val="22"/>
                <w:lang w:eastAsia="en-GB"/>
              </w:rPr>
            </w:pPr>
            <w:r w:rsidRPr="00C3483E">
              <w:rPr>
                <w:rFonts w:cs="Arial"/>
                <w:sz w:val="22"/>
                <w:szCs w:val="22"/>
              </w:rPr>
              <w:t>1.48</w:t>
            </w:r>
          </w:p>
        </w:tc>
      </w:tr>
      <w:tr w:rsidR="00C3483E" w:rsidRPr="00C3483E" w14:paraId="669C1FA0" w14:textId="77777777">
        <w:trPr>
          <w:trHeight w:val="384"/>
          <w:jc w:val="center"/>
        </w:trPr>
        <w:tc>
          <w:tcPr>
            <w:tcW w:w="611" w:type="dxa"/>
          </w:tcPr>
          <w:p w14:paraId="4B4BBFE4" w14:textId="77777777" w:rsidR="00C3483E" w:rsidRPr="00C3483E" w:rsidRDefault="00C3483E">
            <w:pPr>
              <w:rPr>
                <w:rFonts w:eastAsia="Times New Roman" w:cs="Arial"/>
                <w:b/>
                <w:bCs/>
                <w:sz w:val="22"/>
                <w:szCs w:val="22"/>
                <w:lang w:eastAsia="en-GB"/>
              </w:rPr>
            </w:pPr>
          </w:p>
        </w:tc>
        <w:tc>
          <w:tcPr>
            <w:tcW w:w="6069" w:type="dxa"/>
            <w:hideMark/>
          </w:tcPr>
          <w:p w14:paraId="340D77C7" w14:textId="77777777" w:rsidR="00C3483E" w:rsidRPr="00C3483E" w:rsidRDefault="00C3483E">
            <w:pPr>
              <w:rPr>
                <w:rFonts w:eastAsia="Times New Roman" w:cs="Arial"/>
                <w:b/>
                <w:bCs/>
                <w:sz w:val="22"/>
                <w:szCs w:val="22"/>
                <w:lang w:eastAsia="en-GB"/>
              </w:rPr>
            </w:pPr>
            <w:r w:rsidRPr="00C3483E">
              <w:rPr>
                <w:rFonts w:eastAsia="Times New Roman" w:cs="Arial"/>
                <w:b/>
                <w:bCs/>
                <w:sz w:val="22"/>
                <w:szCs w:val="22"/>
                <w:lang w:eastAsia="en-GB"/>
              </w:rPr>
              <w:t>Adjusted Benefit Cost Ratio [(A + B) / C]</w:t>
            </w:r>
          </w:p>
        </w:tc>
        <w:tc>
          <w:tcPr>
            <w:tcW w:w="2862" w:type="dxa"/>
            <w:noWrap/>
            <w:hideMark/>
          </w:tcPr>
          <w:p w14:paraId="03B8E0FE" w14:textId="77777777" w:rsidR="00C3483E" w:rsidRPr="00C3483E" w:rsidRDefault="00C3483E">
            <w:pPr>
              <w:jc w:val="right"/>
              <w:rPr>
                <w:rFonts w:eastAsia="Times New Roman" w:cs="Arial"/>
                <w:b/>
                <w:bCs/>
                <w:sz w:val="22"/>
                <w:szCs w:val="22"/>
                <w:lang w:eastAsia="en-GB"/>
              </w:rPr>
            </w:pPr>
            <w:r w:rsidRPr="00C3483E">
              <w:rPr>
                <w:rFonts w:cs="Arial"/>
                <w:b/>
                <w:bCs/>
                <w:sz w:val="22"/>
                <w:szCs w:val="22"/>
              </w:rPr>
              <w:t>3.17</w:t>
            </w:r>
          </w:p>
        </w:tc>
      </w:tr>
      <w:tr w:rsidR="00C3483E" w:rsidRPr="00C3483E" w14:paraId="23A17928" w14:textId="77777777">
        <w:trPr>
          <w:cnfStyle w:val="000000100000" w:firstRow="0" w:lastRow="0" w:firstColumn="0" w:lastColumn="0" w:oddVBand="0" w:evenVBand="0" w:oddHBand="1" w:evenHBand="0" w:firstRowFirstColumn="0" w:firstRowLastColumn="0" w:lastRowFirstColumn="0" w:lastRowLastColumn="0"/>
          <w:trHeight w:val="420"/>
          <w:jc w:val="center"/>
        </w:trPr>
        <w:tc>
          <w:tcPr>
            <w:tcW w:w="611" w:type="dxa"/>
          </w:tcPr>
          <w:p w14:paraId="0E76358A" w14:textId="77777777" w:rsidR="00C3483E" w:rsidRPr="00C3483E" w:rsidRDefault="00C3483E">
            <w:pPr>
              <w:rPr>
                <w:rFonts w:eastAsia="Times New Roman" w:cs="Arial"/>
                <w:sz w:val="22"/>
                <w:szCs w:val="22"/>
                <w:lang w:eastAsia="en-GB"/>
              </w:rPr>
            </w:pPr>
          </w:p>
        </w:tc>
        <w:tc>
          <w:tcPr>
            <w:tcW w:w="6069" w:type="dxa"/>
            <w:noWrap/>
            <w:hideMark/>
          </w:tcPr>
          <w:p w14:paraId="67F09EA3" w14:textId="77777777" w:rsidR="00C3483E" w:rsidRPr="00C3483E" w:rsidRDefault="00C3483E">
            <w:pPr>
              <w:rPr>
                <w:rFonts w:eastAsia="Times New Roman" w:cs="Arial"/>
                <w:sz w:val="22"/>
                <w:szCs w:val="22"/>
                <w:lang w:eastAsia="en-GB"/>
              </w:rPr>
            </w:pPr>
            <w:proofErr w:type="spellStart"/>
            <w:r w:rsidRPr="00C3483E">
              <w:rPr>
                <w:rFonts w:eastAsia="Times New Roman" w:cs="Arial"/>
                <w:sz w:val="22"/>
                <w:szCs w:val="22"/>
                <w:lang w:eastAsia="en-GB"/>
              </w:rPr>
              <w:t>Vfm</w:t>
            </w:r>
            <w:proofErr w:type="spellEnd"/>
            <w:r w:rsidRPr="00C3483E">
              <w:rPr>
                <w:rFonts w:eastAsia="Times New Roman" w:cs="Arial"/>
                <w:sz w:val="22"/>
                <w:szCs w:val="22"/>
                <w:lang w:eastAsia="en-GB"/>
              </w:rPr>
              <w:t xml:space="preserve"> category </w:t>
            </w:r>
          </w:p>
        </w:tc>
        <w:tc>
          <w:tcPr>
            <w:tcW w:w="2862" w:type="dxa"/>
            <w:noWrap/>
            <w:hideMark/>
          </w:tcPr>
          <w:p w14:paraId="1502B333" w14:textId="77777777" w:rsidR="00C3483E" w:rsidRPr="00C3483E" w:rsidRDefault="00C3483E">
            <w:pPr>
              <w:jc w:val="right"/>
              <w:rPr>
                <w:rFonts w:eastAsia="Times New Roman" w:cs="Arial"/>
                <w:sz w:val="22"/>
                <w:szCs w:val="22"/>
                <w:lang w:eastAsia="en-GB"/>
              </w:rPr>
            </w:pPr>
            <w:r w:rsidRPr="00C3483E">
              <w:rPr>
                <w:rFonts w:eastAsia="Times New Roman" w:cs="Arial"/>
                <w:sz w:val="22"/>
                <w:szCs w:val="22"/>
                <w:lang w:eastAsia="en-GB"/>
              </w:rPr>
              <w:t>Good (BCR &gt;2)</w:t>
            </w:r>
          </w:p>
        </w:tc>
      </w:tr>
    </w:tbl>
    <w:p w14:paraId="04B1ADE8" w14:textId="77777777" w:rsidR="00C3483E" w:rsidRPr="00C3483E" w:rsidRDefault="00C3483E" w:rsidP="00C3483E">
      <w:pPr>
        <w:pStyle w:val="Level1"/>
        <w:numPr>
          <w:ilvl w:val="0"/>
          <w:numId w:val="0"/>
        </w:numPr>
        <w:spacing w:after="0"/>
        <w:ind w:left="720"/>
        <w:rPr>
          <w:rFonts w:ascii="Arial" w:hAnsi="Arial" w:cs="Arial"/>
          <w:sz w:val="22"/>
        </w:rPr>
      </w:pPr>
    </w:p>
    <w:p w14:paraId="16FBA224" w14:textId="2F693D80" w:rsidR="00C3483E" w:rsidRPr="00C3483E" w:rsidRDefault="00C3483E" w:rsidP="00C3483E">
      <w:pPr>
        <w:pStyle w:val="NoSpacing"/>
        <w:ind w:left="360"/>
        <w:jc w:val="both"/>
        <w:rPr>
          <w:rFonts w:cs="Arial"/>
          <w:sz w:val="22"/>
          <w:szCs w:val="22"/>
        </w:rPr>
      </w:pPr>
      <w:r w:rsidRPr="00C3483E">
        <w:rPr>
          <w:rFonts w:cs="Arial"/>
          <w:sz w:val="22"/>
          <w:szCs w:val="22"/>
        </w:rPr>
        <w:t xml:space="preserve">The Adjusted BCR demonstrates that the scheme delivers good value for money (over 2:1), when the wider impacts of the proposal are considered, such as the removal of brownfield disamenity for surrounding </w:t>
      </w:r>
      <w:proofErr w:type="gramStart"/>
      <w:r w:rsidRPr="00C3483E">
        <w:rPr>
          <w:rFonts w:cs="Arial"/>
          <w:sz w:val="22"/>
          <w:szCs w:val="22"/>
        </w:rPr>
        <w:t>households</w:t>
      </w:r>
      <w:proofErr w:type="gramEnd"/>
    </w:p>
    <w:p w14:paraId="22690232" w14:textId="77777777" w:rsidR="00786202" w:rsidRPr="00C3483E" w:rsidRDefault="00786202" w:rsidP="00C3483E">
      <w:pPr>
        <w:pStyle w:val="NoSpacing"/>
        <w:rPr>
          <w:rFonts w:cs="Arial"/>
          <w:sz w:val="22"/>
          <w:szCs w:val="22"/>
        </w:rPr>
      </w:pPr>
    </w:p>
    <w:p w14:paraId="318603EB" w14:textId="03236D63" w:rsidR="00786202" w:rsidRPr="00C3483E" w:rsidRDefault="00F51D95" w:rsidP="006013D9">
      <w:pPr>
        <w:pStyle w:val="NoSpacing"/>
        <w:numPr>
          <w:ilvl w:val="0"/>
          <w:numId w:val="23"/>
        </w:numPr>
        <w:ind w:hanging="720"/>
        <w:rPr>
          <w:rFonts w:cs="Arial"/>
          <w:b/>
          <w:bCs/>
          <w:sz w:val="22"/>
          <w:szCs w:val="22"/>
        </w:rPr>
      </w:pPr>
      <w:proofErr w:type="gramStart"/>
      <w:r w:rsidRPr="1A3DD75C">
        <w:rPr>
          <w:rFonts w:cs="Arial"/>
          <w:b/>
          <w:bCs/>
          <w:sz w:val="22"/>
          <w:szCs w:val="22"/>
        </w:rPr>
        <w:t>N</w:t>
      </w:r>
      <w:r w:rsidR="6429FFF3" w:rsidRPr="1A3DD75C">
        <w:rPr>
          <w:rFonts w:cs="Arial"/>
          <w:b/>
          <w:bCs/>
          <w:sz w:val="22"/>
          <w:szCs w:val="22"/>
        </w:rPr>
        <w:t>orth East</w:t>
      </w:r>
      <w:proofErr w:type="gramEnd"/>
      <w:r w:rsidR="6429FFF3" w:rsidRPr="1A3DD75C">
        <w:rPr>
          <w:rFonts w:cs="Arial"/>
          <w:b/>
          <w:bCs/>
          <w:sz w:val="22"/>
          <w:szCs w:val="22"/>
        </w:rPr>
        <w:t xml:space="preserve"> CA</w:t>
      </w:r>
      <w:r w:rsidRPr="1A3DD75C">
        <w:rPr>
          <w:rFonts w:cs="Arial"/>
          <w:b/>
          <w:bCs/>
          <w:sz w:val="22"/>
          <w:szCs w:val="22"/>
        </w:rPr>
        <w:t xml:space="preserve"> Outputs/KPIs:</w:t>
      </w:r>
    </w:p>
    <w:p w14:paraId="7D511A58" w14:textId="77777777" w:rsidR="00786202" w:rsidRPr="00C3483E" w:rsidRDefault="00786202" w:rsidP="00786202">
      <w:pPr>
        <w:pStyle w:val="NoSpacing"/>
        <w:ind w:left="720"/>
        <w:rPr>
          <w:rFonts w:cs="Arial"/>
          <w:b/>
          <w:bCs/>
          <w:sz w:val="22"/>
          <w:szCs w:val="22"/>
        </w:rPr>
      </w:pPr>
    </w:p>
    <w:p w14:paraId="450D13C8" w14:textId="77777777" w:rsidR="00C3483E" w:rsidRPr="00C3483E" w:rsidRDefault="00B56094" w:rsidP="00C3483E">
      <w:pPr>
        <w:pStyle w:val="NoSpacing"/>
        <w:jc w:val="both"/>
        <w:rPr>
          <w:rFonts w:cs="Arial"/>
          <w:sz w:val="22"/>
          <w:szCs w:val="22"/>
        </w:rPr>
      </w:pPr>
      <w:r w:rsidRPr="00C3483E">
        <w:rPr>
          <w:rFonts w:cs="Arial"/>
          <w:sz w:val="22"/>
          <w:szCs w:val="22"/>
        </w:rPr>
        <w:t>3.1</w:t>
      </w:r>
      <w:r w:rsidRPr="00C3483E">
        <w:rPr>
          <w:rFonts w:cs="Arial"/>
          <w:sz w:val="22"/>
          <w:szCs w:val="22"/>
        </w:rPr>
        <w:tab/>
      </w:r>
      <w:r w:rsidR="00C3483E" w:rsidRPr="00C3483E">
        <w:rPr>
          <w:rFonts w:cs="Arial"/>
          <w:sz w:val="22"/>
          <w:szCs w:val="22"/>
        </w:rPr>
        <w:t>Outputs from the project </w:t>
      </w:r>
    </w:p>
    <w:p w14:paraId="21BCC795" w14:textId="77777777" w:rsidR="00C3483E" w:rsidRPr="00C3483E" w:rsidRDefault="00C3483E" w:rsidP="00C3483E">
      <w:pPr>
        <w:pStyle w:val="NoSpacing"/>
        <w:jc w:val="both"/>
        <w:rPr>
          <w:rFonts w:cs="Arial"/>
          <w:sz w:val="22"/>
          <w:szCs w:val="22"/>
        </w:rPr>
      </w:pPr>
    </w:p>
    <w:p w14:paraId="6241767E" w14:textId="77777777" w:rsidR="00C3483E" w:rsidRPr="00C3483E" w:rsidRDefault="00C3483E" w:rsidP="0055111B">
      <w:pPr>
        <w:pStyle w:val="NoSpacing"/>
        <w:ind w:left="709"/>
        <w:jc w:val="both"/>
        <w:rPr>
          <w:rFonts w:cs="Arial"/>
          <w:sz w:val="22"/>
          <w:szCs w:val="22"/>
        </w:rPr>
      </w:pPr>
      <w:r w:rsidRPr="00C3483E">
        <w:rPr>
          <w:rFonts w:cs="Arial"/>
          <w:sz w:val="22"/>
          <w:szCs w:val="22"/>
        </w:rPr>
        <w:t xml:space="preserve">The direct project outputs from the intervention will be the Pottery Lane widening and enhancements. </w:t>
      </w:r>
    </w:p>
    <w:p w14:paraId="046BB80A" w14:textId="77777777" w:rsidR="00C3483E" w:rsidRPr="00C3483E" w:rsidRDefault="00C3483E" w:rsidP="0055111B">
      <w:pPr>
        <w:pStyle w:val="NoSpacing"/>
        <w:ind w:left="709"/>
        <w:jc w:val="both"/>
        <w:rPr>
          <w:rFonts w:cs="Arial"/>
          <w:sz w:val="22"/>
          <w:szCs w:val="22"/>
        </w:rPr>
      </w:pPr>
    </w:p>
    <w:p w14:paraId="337FF934" w14:textId="5A17874E" w:rsidR="00C3483E" w:rsidRPr="00C3483E" w:rsidRDefault="600631D8" w:rsidP="0055111B">
      <w:pPr>
        <w:pStyle w:val="NoSpacing"/>
        <w:ind w:left="709"/>
        <w:jc w:val="both"/>
        <w:rPr>
          <w:rFonts w:cs="Arial"/>
          <w:sz w:val="22"/>
          <w:szCs w:val="22"/>
        </w:rPr>
      </w:pPr>
      <w:r w:rsidRPr="1E60542B">
        <w:rPr>
          <w:rFonts w:cs="Arial"/>
          <w:sz w:val="22"/>
          <w:szCs w:val="22"/>
        </w:rPr>
        <w:t xml:space="preserve">Newcastle City Council has identified that the Pottery Lane widening will unlock the Pottery Lane West site. The site comprises 3.15ha brownfield land on Pottery Lane, with the capacity to deliver 519 new housing units by </w:t>
      </w:r>
      <w:r w:rsidRPr="1E60542B">
        <w:rPr>
          <w:rFonts w:cs="Arial"/>
          <w:sz w:val="22"/>
          <w:szCs w:val="22"/>
          <w:u w:val="single"/>
        </w:rPr>
        <w:t>Autumn</w:t>
      </w:r>
      <w:r w:rsidRPr="1E60542B">
        <w:rPr>
          <w:rFonts w:cs="Arial"/>
          <w:sz w:val="22"/>
          <w:szCs w:val="22"/>
        </w:rPr>
        <w:t xml:space="preserve"> 2026. This a longstanding brownfield site with accessibility issues that would not progress without the proposed infrastructure works.</w:t>
      </w:r>
    </w:p>
    <w:p w14:paraId="4F8801C1" w14:textId="77777777" w:rsidR="00C3483E" w:rsidRPr="00C3483E" w:rsidRDefault="00C3483E" w:rsidP="00C3483E">
      <w:pPr>
        <w:pStyle w:val="NoSpacing"/>
        <w:jc w:val="both"/>
        <w:rPr>
          <w:rFonts w:cs="Arial"/>
          <w:sz w:val="22"/>
          <w:szCs w:val="22"/>
        </w:rPr>
      </w:pPr>
    </w:p>
    <w:p w14:paraId="2FB815FE" w14:textId="77777777" w:rsidR="00C3483E" w:rsidRPr="00C3483E" w:rsidRDefault="00C3483E" w:rsidP="0055111B">
      <w:pPr>
        <w:pStyle w:val="NoSpacing"/>
        <w:ind w:left="709"/>
        <w:jc w:val="both"/>
        <w:rPr>
          <w:rFonts w:cs="Arial"/>
          <w:sz w:val="22"/>
          <w:szCs w:val="22"/>
        </w:rPr>
      </w:pPr>
      <w:r w:rsidRPr="00C3483E">
        <w:rPr>
          <w:rFonts w:cs="Arial"/>
          <w:sz w:val="22"/>
          <w:szCs w:val="22"/>
        </w:rPr>
        <w:t>The benefits are therefore:</w:t>
      </w:r>
    </w:p>
    <w:p w14:paraId="443072B0" w14:textId="77777777" w:rsidR="00C3483E" w:rsidRPr="00C3483E" w:rsidRDefault="00C3483E" w:rsidP="0055111B">
      <w:pPr>
        <w:pStyle w:val="NoSpacing"/>
        <w:numPr>
          <w:ilvl w:val="0"/>
          <w:numId w:val="35"/>
        </w:numPr>
        <w:ind w:left="1134"/>
        <w:jc w:val="both"/>
        <w:rPr>
          <w:rFonts w:cs="Arial"/>
          <w:sz w:val="22"/>
          <w:szCs w:val="22"/>
        </w:rPr>
      </w:pPr>
      <w:r w:rsidRPr="00C3483E">
        <w:rPr>
          <w:rFonts w:cs="Arial"/>
          <w:sz w:val="22"/>
          <w:szCs w:val="22"/>
        </w:rPr>
        <w:t>1 km road improvements</w:t>
      </w:r>
    </w:p>
    <w:p w14:paraId="11AC935F" w14:textId="77777777" w:rsidR="00C3483E" w:rsidRPr="00C3483E" w:rsidRDefault="00C3483E" w:rsidP="0055111B">
      <w:pPr>
        <w:pStyle w:val="NoSpacing"/>
        <w:numPr>
          <w:ilvl w:val="0"/>
          <w:numId w:val="35"/>
        </w:numPr>
        <w:ind w:left="1134"/>
        <w:jc w:val="both"/>
        <w:rPr>
          <w:rFonts w:cs="Arial"/>
          <w:sz w:val="22"/>
          <w:szCs w:val="22"/>
        </w:rPr>
      </w:pPr>
      <w:r w:rsidRPr="00C3483E">
        <w:rPr>
          <w:rFonts w:cs="Arial"/>
          <w:sz w:val="22"/>
          <w:szCs w:val="22"/>
        </w:rPr>
        <w:t xml:space="preserve">District Heating Plant infrastructure  </w:t>
      </w:r>
    </w:p>
    <w:p w14:paraId="249E574A" w14:textId="77777777" w:rsidR="00C3483E" w:rsidRPr="00C3483E" w:rsidRDefault="00C3483E" w:rsidP="0055111B">
      <w:pPr>
        <w:pStyle w:val="NoSpacing"/>
        <w:numPr>
          <w:ilvl w:val="0"/>
          <w:numId w:val="35"/>
        </w:numPr>
        <w:ind w:left="1134"/>
        <w:jc w:val="both"/>
        <w:rPr>
          <w:rFonts w:cs="Arial"/>
          <w:sz w:val="22"/>
          <w:szCs w:val="22"/>
        </w:rPr>
      </w:pPr>
      <w:r w:rsidRPr="00C3483E">
        <w:rPr>
          <w:rFonts w:cs="Arial"/>
          <w:sz w:val="22"/>
          <w:szCs w:val="22"/>
        </w:rPr>
        <w:t>3.15ha brownfield land redeveloped</w:t>
      </w:r>
    </w:p>
    <w:p w14:paraId="69877910" w14:textId="77777777" w:rsidR="00C3483E" w:rsidRPr="00C3483E" w:rsidRDefault="00C3483E" w:rsidP="0055111B">
      <w:pPr>
        <w:pStyle w:val="NoSpacing"/>
        <w:numPr>
          <w:ilvl w:val="0"/>
          <w:numId w:val="35"/>
        </w:numPr>
        <w:ind w:left="1134"/>
        <w:jc w:val="both"/>
        <w:rPr>
          <w:rFonts w:cs="Arial"/>
          <w:sz w:val="22"/>
          <w:szCs w:val="22"/>
        </w:rPr>
      </w:pPr>
      <w:r w:rsidRPr="00C3483E">
        <w:rPr>
          <w:rFonts w:cs="Arial"/>
          <w:sz w:val="22"/>
          <w:szCs w:val="22"/>
        </w:rPr>
        <w:t>519 housing units</w:t>
      </w:r>
    </w:p>
    <w:p w14:paraId="5F04CCB1" w14:textId="6AAA6DA9" w:rsidR="00C3483E" w:rsidRPr="00C3483E" w:rsidRDefault="00C3483E" w:rsidP="0055111B">
      <w:pPr>
        <w:pStyle w:val="NoSpacing"/>
        <w:numPr>
          <w:ilvl w:val="0"/>
          <w:numId w:val="35"/>
        </w:numPr>
        <w:ind w:left="1134"/>
        <w:jc w:val="both"/>
        <w:rPr>
          <w:rFonts w:cs="Arial"/>
          <w:b/>
          <w:bCs/>
          <w:sz w:val="22"/>
          <w:szCs w:val="22"/>
        </w:rPr>
      </w:pPr>
      <w:r w:rsidRPr="00C3483E">
        <w:rPr>
          <w:rFonts w:cs="Arial"/>
          <w:sz w:val="22"/>
          <w:szCs w:val="22"/>
        </w:rPr>
        <w:t xml:space="preserve">1,609 indirect construction jobs supported (using Homes England </w:t>
      </w:r>
      <w:hyperlink r:id="rId11" w:history="1">
        <w:r w:rsidRPr="00C3483E">
          <w:rPr>
            <w:rStyle w:val="Hyperlink"/>
            <w:rFonts w:cs="Arial"/>
            <w:sz w:val="22"/>
            <w:szCs w:val="22"/>
          </w:rPr>
          <w:t>Fact Sheet 8</w:t>
        </w:r>
      </w:hyperlink>
      <w:r w:rsidRPr="00C3483E">
        <w:rPr>
          <w:rFonts w:cs="Arial"/>
          <w:b/>
          <w:bCs/>
          <w:sz w:val="22"/>
          <w:szCs w:val="22"/>
        </w:rPr>
        <w:t>)</w:t>
      </w:r>
    </w:p>
    <w:p w14:paraId="158B8160" w14:textId="77777777" w:rsidR="00C3483E" w:rsidRPr="00C3483E" w:rsidRDefault="00C3483E" w:rsidP="00C3483E">
      <w:pPr>
        <w:pStyle w:val="NoSpacing"/>
        <w:jc w:val="both"/>
        <w:rPr>
          <w:rFonts w:cs="Arial"/>
          <w:b/>
          <w:bCs/>
          <w:sz w:val="22"/>
          <w:szCs w:val="22"/>
        </w:rPr>
      </w:pPr>
    </w:p>
    <w:p w14:paraId="2A6E83B9" w14:textId="09888A05" w:rsidR="00C3483E" w:rsidRPr="00C3483E" w:rsidRDefault="00C3483E" w:rsidP="00C3483E">
      <w:pPr>
        <w:pStyle w:val="NoSpacing"/>
        <w:jc w:val="both"/>
        <w:rPr>
          <w:rFonts w:cs="Arial"/>
          <w:sz w:val="22"/>
          <w:szCs w:val="22"/>
        </w:rPr>
      </w:pPr>
      <w:r w:rsidRPr="00C3483E">
        <w:rPr>
          <w:rFonts w:cs="Arial"/>
          <w:sz w:val="22"/>
          <w:szCs w:val="22"/>
        </w:rPr>
        <w:t>3.2</w:t>
      </w:r>
      <w:r w:rsidRPr="00C3483E">
        <w:rPr>
          <w:rFonts w:cs="Arial"/>
          <w:sz w:val="22"/>
          <w:szCs w:val="22"/>
        </w:rPr>
        <w:tab/>
        <w:t>Outcomes/benefits of proposed intervention.</w:t>
      </w:r>
    </w:p>
    <w:p w14:paraId="6CC0239A" w14:textId="77777777" w:rsidR="00C3483E" w:rsidRPr="00C3483E" w:rsidRDefault="00C3483E" w:rsidP="00C3483E">
      <w:pPr>
        <w:pStyle w:val="NoSpacing"/>
        <w:jc w:val="both"/>
        <w:rPr>
          <w:rFonts w:cs="Arial"/>
          <w:sz w:val="22"/>
          <w:szCs w:val="22"/>
        </w:rPr>
      </w:pPr>
    </w:p>
    <w:p w14:paraId="2222AB28" w14:textId="77777777" w:rsidR="00C3483E" w:rsidRPr="00C3483E" w:rsidRDefault="00C3483E" w:rsidP="0055111B">
      <w:pPr>
        <w:pStyle w:val="NoSpacing"/>
        <w:numPr>
          <w:ilvl w:val="0"/>
          <w:numId w:val="35"/>
        </w:numPr>
        <w:ind w:left="1134"/>
        <w:jc w:val="both"/>
        <w:rPr>
          <w:rFonts w:cs="Arial"/>
          <w:sz w:val="22"/>
          <w:szCs w:val="22"/>
        </w:rPr>
      </w:pPr>
      <w:r w:rsidRPr="00C3483E">
        <w:rPr>
          <w:rFonts w:cs="Arial"/>
          <w:sz w:val="22"/>
          <w:szCs w:val="22"/>
        </w:rPr>
        <w:t>Direct land value uplift</w:t>
      </w:r>
    </w:p>
    <w:p w14:paraId="270CD9B3" w14:textId="3616ED58" w:rsidR="00C3483E" w:rsidRPr="00C3483E" w:rsidRDefault="00C3483E" w:rsidP="0055111B">
      <w:pPr>
        <w:pStyle w:val="NoSpacing"/>
        <w:numPr>
          <w:ilvl w:val="0"/>
          <w:numId w:val="35"/>
        </w:numPr>
        <w:ind w:left="1134"/>
        <w:jc w:val="both"/>
        <w:rPr>
          <w:rFonts w:cs="Arial"/>
          <w:sz w:val="22"/>
          <w:szCs w:val="22"/>
        </w:rPr>
      </w:pPr>
      <w:r w:rsidRPr="00C3483E">
        <w:rPr>
          <w:rFonts w:cs="Arial"/>
          <w:sz w:val="22"/>
          <w:szCs w:val="22"/>
        </w:rPr>
        <w:t xml:space="preserve">Removal of brownfield disamenity </w:t>
      </w:r>
      <w:proofErr w:type="gramStart"/>
      <w:r w:rsidRPr="00C3483E">
        <w:rPr>
          <w:rFonts w:cs="Arial"/>
          <w:sz w:val="22"/>
          <w:szCs w:val="22"/>
        </w:rPr>
        <w:t>as a result of</w:t>
      </w:r>
      <w:proofErr w:type="gramEnd"/>
      <w:r w:rsidRPr="00C3483E">
        <w:rPr>
          <w:rFonts w:cs="Arial"/>
          <w:sz w:val="22"/>
          <w:szCs w:val="22"/>
        </w:rPr>
        <w:t xml:space="preserve"> the redevelopment.</w:t>
      </w:r>
    </w:p>
    <w:p w14:paraId="33087C66" w14:textId="20EBFC71" w:rsidR="00C3483E" w:rsidRPr="00C3483E" w:rsidRDefault="00C3483E" w:rsidP="0055111B">
      <w:pPr>
        <w:pStyle w:val="NoSpacing"/>
        <w:numPr>
          <w:ilvl w:val="0"/>
          <w:numId w:val="35"/>
        </w:numPr>
        <w:ind w:left="1134"/>
        <w:jc w:val="both"/>
        <w:rPr>
          <w:rFonts w:cs="Arial"/>
          <w:sz w:val="22"/>
          <w:szCs w:val="22"/>
        </w:rPr>
      </w:pPr>
      <w:r w:rsidRPr="00C3483E">
        <w:rPr>
          <w:rFonts w:cs="Arial"/>
          <w:sz w:val="22"/>
          <w:szCs w:val="22"/>
        </w:rPr>
        <w:t>Improved accessibility and permeability of the eastern side of the regeneration area.</w:t>
      </w:r>
    </w:p>
    <w:p w14:paraId="4DC7CDDB" w14:textId="5AFC9DC9" w:rsidR="1E60542B" w:rsidRDefault="00C3483E" w:rsidP="0055111B">
      <w:pPr>
        <w:pStyle w:val="NoSpacing"/>
        <w:numPr>
          <w:ilvl w:val="0"/>
          <w:numId w:val="35"/>
        </w:numPr>
        <w:ind w:left="1134"/>
        <w:jc w:val="both"/>
        <w:rPr>
          <w:rFonts w:cs="Arial"/>
          <w:sz w:val="22"/>
          <w:szCs w:val="22"/>
        </w:rPr>
      </w:pPr>
      <w:r w:rsidRPr="06E70375">
        <w:rPr>
          <w:rFonts w:cs="Arial"/>
          <w:sz w:val="22"/>
          <w:szCs w:val="22"/>
        </w:rPr>
        <w:t xml:space="preserve">Improved perceptions by businesses, </w:t>
      </w:r>
      <w:proofErr w:type="gramStart"/>
      <w:r w:rsidRPr="06E70375">
        <w:rPr>
          <w:rFonts w:cs="Arial"/>
          <w:sz w:val="22"/>
          <w:szCs w:val="22"/>
        </w:rPr>
        <w:t>residents</w:t>
      </w:r>
      <w:proofErr w:type="gramEnd"/>
      <w:r w:rsidRPr="06E70375">
        <w:rPr>
          <w:rFonts w:cs="Arial"/>
          <w:sz w:val="22"/>
          <w:szCs w:val="22"/>
        </w:rPr>
        <w:t xml:space="preserve"> and visitors.</w:t>
      </w:r>
    </w:p>
    <w:p w14:paraId="51E2D628" w14:textId="77777777" w:rsidR="00F51D95" w:rsidRPr="00C3483E" w:rsidRDefault="00F51D95" w:rsidP="00F51D95">
      <w:pPr>
        <w:pStyle w:val="NoSpacing"/>
        <w:rPr>
          <w:rFonts w:cs="Arial"/>
          <w:b/>
          <w:bCs/>
          <w:sz w:val="22"/>
          <w:szCs w:val="22"/>
        </w:rPr>
      </w:pPr>
    </w:p>
    <w:p w14:paraId="2ACAE44C" w14:textId="6A9AD176" w:rsidR="00F51D95" w:rsidRPr="00C3483E" w:rsidRDefault="00F51D95" w:rsidP="00F51D95">
      <w:pPr>
        <w:pStyle w:val="NoSpacing"/>
        <w:rPr>
          <w:rFonts w:cs="Arial"/>
          <w:b/>
          <w:bCs/>
          <w:sz w:val="22"/>
          <w:szCs w:val="22"/>
        </w:rPr>
      </w:pPr>
      <w:r w:rsidRPr="1E60542B">
        <w:rPr>
          <w:rFonts w:cs="Arial"/>
          <w:b/>
          <w:bCs/>
          <w:sz w:val="22"/>
          <w:szCs w:val="22"/>
        </w:rPr>
        <w:t xml:space="preserve">4. </w:t>
      </w:r>
      <w:r>
        <w:tab/>
      </w:r>
      <w:r w:rsidR="620A38A6" w:rsidRPr="1E60542B">
        <w:rPr>
          <w:rFonts w:cs="Arial"/>
          <w:b/>
          <w:bCs/>
          <w:sz w:val="22"/>
          <w:szCs w:val="22"/>
        </w:rPr>
        <w:t xml:space="preserve">Appraisal and </w:t>
      </w:r>
      <w:r w:rsidRPr="1E60542B">
        <w:rPr>
          <w:rFonts w:cs="Arial"/>
          <w:b/>
          <w:bCs/>
          <w:sz w:val="22"/>
          <w:szCs w:val="22"/>
        </w:rPr>
        <w:t>Conditions:</w:t>
      </w:r>
    </w:p>
    <w:p w14:paraId="30252E5C" w14:textId="728A5F06" w:rsidR="1E60542B" w:rsidRDefault="1E60542B" w:rsidP="1E60542B">
      <w:pPr>
        <w:pStyle w:val="NoSpacing"/>
        <w:rPr>
          <w:rFonts w:cs="Arial"/>
          <w:b/>
          <w:bCs/>
          <w:sz w:val="22"/>
          <w:szCs w:val="22"/>
        </w:rPr>
      </w:pPr>
    </w:p>
    <w:p w14:paraId="1684442A" w14:textId="6ADC7035" w:rsidR="0BB18542" w:rsidRPr="007A5193" w:rsidRDefault="0BB18542" w:rsidP="0055111B">
      <w:pPr>
        <w:pStyle w:val="NoSpacing"/>
        <w:spacing w:before="120" w:after="120"/>
        <w:ind w:left="709"/>
        <w:jc w:val="both"/>
        <w:rPr>
          <w:rFonts w:cs="Arial"/>
          <w:sz w:val="22"/>
          <w:szCs w:val="22"/>
        </w:rPr>
      </w:pPr>
      <w:r w:rsidRPr="06E70375">
        <w:rPr>
          <w:rFonts w:cs="Arial"/>
          <w:sz w:val="22"/>
          <w:szCs w:val="22"/>
        </w:rPr>
        <w:t xml:space="preserve">The Business Case submission, prepared by Avison Young for Newcastle City Council, has </w:t>
      </w:r>
      <w:r w:rsidR="356CFC3A" w:rsidRPr="06E70375">
        <w:rPr>
          <w:rFonts w:cs="Arial"/>
          <w:sz w:val="22"/>
          <w:szCs w:val="22"/>
        </w:rPr>
        <w:t xml:space="preserve">also </w:t>
      </w:r>
      <w:r w:rsidRPr="06E70375">
        <w:rPr>
          <w:rFonts w:cs="Arial"/>
          <w:sz w:val="22"/>
          <w:szCs w:val="22"/>
        </w:rPr>
        <w:t xml:space="preserve">been fully appraised by the independent surveyor Nigel Wilcocks of </w:t>
      </w:r>
      <w:proofErr w:type="spellStart"/>
      <w:r w:rsidRPr="06E70375">
        <w:rPr>
          <w:rFonts w:cs="Arial"/>
          <w:sz w:val="22"/>
          <w:szCs w:val="22"/>
        </w:rPr>
        <w:t>Mickledore</w:t>
      </w:r>
      <w:proofErr w:type="spellEnd"/>
      <w:r w:rsidRPr="06E70375">
        <w:rPr>
          <w:rFonts w:cs="Arial"/>
          <w:sz w:val="22"/>
          <w:szCs w:val="22"/>
        </w:rPr>
        <w:t xml:space="preserve">. </w:t>
      </w:r>
      <w:r w:rsidR="7BADBE52" w:rsidRPr="06E70375">
        <w:rPr>
          <w:rFonts w:cs="Arial"/>
          <w:sz w:val="22"/>
          <w:szCs w:val="22"/>
        </w:rPr>
        <w:t xml:space="preserve">The submission was given an overall ‘Green’ rating. The only area highlighted as </w:t>
      </w:r>
      <w:r w:rsidR="1D4FD8AC" w:rsidRPr="06E70375">
        <w:rPr>
          <w:rFonts w:cs="Arial"/>
          <w:sz w:val="22"/>
          <w:szCs w:val="22"/>
        </w:rPr>
        <w:t>needing more focus was on the development of wider economic benefits, which is not unusual on a significant Capital Expenditure scheme. The conditions below were devised to respond to points raised</w:t>
      </w:r>
      <w:r w:rsidR="429AECE0" w:rsidRPr="06E70375">
        <w:rPr>
          <w:rFonts w:cs="Arial"/>
          <w:sz w:val="22"/>
          <w:szCs w:val="22"/>
        </w:rPr>
        <w:t xml:space="preserve"> in appraisal:</w:t>
      </w:r>
    </w:p>
    <w:p w14:paraId="032F7F6B" w14:textId="291935EB" w:rsidR="00F51D95" w:rsidRPr="007A5193" w:rsidRDefault="00F51D95" w:rsidP="0055111B">
      <w:pPr>
        <w:pStyle w:val="NoSpacing"/>
        <w:ind w:left="709"/>
        <w:rPr>
          <w:rFonts w:cs="Arial"/>
          <w:sz w:val="22"/>
          <w:szCs w:val="22"/>
        </w:rPr>
      </w:pPr>
    </w:p>
    <w:p w14:paraId="0736B33C" w14:textId="5B6EF145" w:rsidR="00F51D95" w:rsidRPr="007A5193" w:rsidRDefault="00F51D95" w:rsidP="0055111B">
      <w:pPr>
        <w:pStyle w:val="NoSpacing"/>
        <w:ind w:left="709"/>
        <w:rPr>
          <w:rFonts w:cs="Arial"/>
          <w:sz w:val="22"/>
          <w:szCs w:val="22"/>
        </w:rPr>
      </w:pPr>
      <w:r w:rsidRPr="06E70375">
        <w:rPr>
          <w:rFonts w:cs="Arial"/>
          <w:sz w:val="22"/>
          <w:szCs w:val="22"/>
        </w:rPr>
        <w:t xml:space="preserve">Should </w:t>
      </w:r>
      <w:proofErr w:type="gramStart"/>
      <w:r w:rsidRPr="06E70375">
        <w:rPr>
          <w:rFonts w:cs="Arial"/>
          <w:sz w:val="22"/>
          <w:szCs w:val="22"/>
        </w:rPr>
        <w:t>N</w:t>
      </w:r>
      <w:r w:rsidR="61A58666" w:rsidRPr="06E70375">
        <w:rPr>
          <w:rFonts w:cs="Arial"/>
          <w:sz w:val="22"/>
          <w:szCs w:val="22"/>
        </w:rPr>
        <w:t>orth East</w:t>
      </w:r>
      <w:proofErr w:type="gramEnd"/>
      <w:r w:rsidR="61A58666" w:rsidRPr="06E70375">
        <w:rPr>
          <w:rFonts w:cs="Arial"/>
          <w:sz w:val="22"/>
          <w:szCs w:val="22"/>
        </w:rPr>
        <w:t xml:space="preserve"> </w:t>
      </w:r>
      <w:r w:rsidRPr="06E70375">
        <w:rPr>
          <w:rFonts w:cs="Arial"/>
          <w:sz w:val="22"/>
          <w:szCs w:val="22"/>
        </w:rPr>
        <w:t>CA approve project funding, the following conditions are proposed as part of any funding agreement:</w:t>
      </w:r>
    </w:p>
    <w:p w14:paraId="756CE3EB" w14:textId="77777777" w:rsidR="00F51D95" w:rsidRPr="00C3483E" w:rsidRDefault="00F51D95" w:rsidP="00F51D95">
      <w:pPr>
        <w:pStyle w:val="NoSpacing"/>
        <w:rPr>
          <w:rFonts w:cs="Arial"/>
          <w:b/>
          <w:bCs/>
          <w:sz w:val="22"/>
          <w:szCs w:val="22"/>
        </w:rPr>
      </w:pPr>
    </w:p>
    <w:p w14:paraId="16F46E6E" w14:textId="45CEAB6B" w:rsidR="00F51D95" w:rsidRPr="00C3483E" w:rsidRDefault="00F51D95" w:rsidP="0055111B">
      <w:pPr>
        <w:pStyle w:val="NoSpacing"/>
        <w:numPr>
          <w:ilvl w:val="0"/>
          <w:numId w:val="27"/>
        </w:numPr>
        <w:ind w:left="1134"/>
        <w:jc w:val="both"/>
        <w:rPr>
          <w:rFonts w:cs="Arial"/>
          <w:sz w:val="22"/>
          <w:szCs w:val="22"/>
        </w:rPr>
      </w:pPr>
      <w:r w:rsidRPr="1E60542B">
        <w:rPr>
          <w:rFonts w:cs="Arial"/>
          <w:sz w:val="22"/>
          <w:szCs w:val="22"/>
        </w:rPr>
        <w:t>Condition 1:</w:t>
      </w:r>
      <w:r w:rsidR="00D259AA" w:rsidRPr="1E60542B">
        <w:rPr>
          <w:rFonts w:cs="Arial"/>
          <w:sz w:val="22"/>
          <w:szCs w:val="22"/>
        </w:rPr>
        <w:t xml:space="preserve"> A fully completed and signed application is required.</w:t>
      </w:r>
    </w:p>
    <w:p w14:paraId="1952B48B" w14:textId="242D2086" w:rsidR="004D2CD0" w:rsidRPr="00C3483E" w:rsidRDefault="00F51D95" w:rsidP="0055111B">
      <w:pPr>
        <w:pStyle w:val="NoSpacing"/>
        <w:numPr>
          <w:ilvl w:val="0"/>
          <w:numId w:val="27"/>
        </w:numPr>
        <w:ind w:left="1134"/>
        <w:jc w:val="both"/>
        <w:rPr>
          <w:rFonts w:cs="Arial"/>
          <w:sz w:val="22"/>
          <w:szCs w:val="22"/>
        </w:rPr>
      </w:pPr>
      <w:r w:rsidRPr="1E60542B">
        <w:rPr>
          <w:rFonts w:cs="Arial"/>
          <w:sz w:val="22"/>
          <w:szCs w:val="22"/>
        </w:rPr>
        <w:lastRenderedPageBreak/>
        <w:t xml:space="preserve">Condition </w:t>
      </w:r>
      <w:r w:rsidR="105A0C85" w:rsidRPr="1E60542B">
        <w:rPr>
          <w:rFonts w:cs="Arial"/>
          <w:sz w:val="22"/>
          <w:szCs w:val="22"/>
        </w:rPr>
        <w:t>2</w:t>
      </w:r>
      <w:r w:rsidRPr="1E60542B">
        <w:rPr>
          <w:rFonts w:cs="Arial"/>
          <w:sz w:val="22"/>
          <w:szCs w:val="22"/>
        </w:rPr>
        <w:t>:</w:t>
      </w:r>
      <w:r w:rsidR="004D2CD0" w:rsidRPr="1E60542B">
        <w:rPr>
          <w:rFonts w:cs="Arial"/>
          <w:sz w:val="22"/>
          <w:szCs w:val="22"/>
        </w:rPr>
        <w:t xml:space="preserve"> A funding condition should state that any funding overrun is the responsibility of NCC (as agreed during appraisal).</w:t>
      </w:r>
    </w:p>
    <w:p w14:paraId="6BB0D395" w14:textId="5F5F2134" w:rsidR="004D2CD0" w:rsidRPr="00C3483E" w:rsidRDefault="00F51D95" w:rsidP="0055111B">
      <w:pPr>
        <w:pStyle w:val="NoSpacing"/>
        <w:numPr>
          <w:ilvl w:val="0"/>
          <w:numId w:val="27"/>
        </w:numPr>
        <w:ind w:left="1134"/>
        <w:jc w:val="both"/>
        <w:rPr>
          <w:rFonts w:cs="Arial"/>
          <w:sz w:val="22"/>
          <w:szCs w:val="22"/>
        </w:rPr>
      </w:pPr>
      <w:r w:rsidRPr="1E60542B">
        <w:rPr>
          <w:rFonts w:cs="Arial"/>
          <w:sz w:val="22"/>
          <w:szCs w:val="22"/>
        </w:rPr>
        <w:t xml:space="preserve">Condition </w:t>
      </w:r>
      <w:r w:rsidR="41926BCD" w:rsidRPr="1E60542B">
        <w:rPr>
          <w:rFonts w:cs="Arial"/>
          <w:sz w:val="22"/>
          <w:szCs w:val="22"/>
        </w:rPr>
        <w:t>3</w:t>
      </w:r>
      <w:r w:rsidRPr="1E60542B">
        <w:rPr>
          <w:rFonts w:cs="Arial"/>
          <w:sz w:val="22"/>
          <w:szCs w:val="22"/>
        </w:rPr>
        <w:t xml:space="preserve">: </w:t>
      </w:r>
      <w:r w:rsidR="004D2CD0" w:rsidRPr="1E60542B">
        <w:rPr>
          <w:rFonts w:cs="Arial"/>
          <w:sz w:val="22"/>
          <w:szCs w:val="22"/>
        </w:rPr>
        <w:t>A performance condition could be included setting out the requirement for all the elements of the scheme to be completed – notably the district heating infrastructure within the road design</w:t>
      </w:r>
      <w:r w:rsidR="00C3483E" w:rsidRPr="1E60542B">
        <w:rPr>
          <w:rFonts w:cs="Arial"/>
          <w:sz w:val="22"/>
          <w:szCs w:val="22"/>
        </w:rPr>
        <w:t>.</w:t>
      </w:r>
    </w:p>
    <w:p w14:paraId="7AD6D0E6" w14:textId="362B19D6" w:rsidR="0B9113FD" w:rsidRDefault="0B9113FD" w:rsidP="0055111B">
      <w:pPr>
        <w:pStyle w:val="NoSpacing"/>
        <w:numPr>
          <w:ilvl w:val="0"/>
          <w:numId w:val="27"/>
        </w:numPr>
        <w:ind w:left="1134"/>
        <w:jc w:val="both"/>
        <w:rPr>
          <w:rFonts w:cs="Arial"/>
          <w:sz w:val="22"/>
          <w:szCs w:val="22"/>
        </w:rPr>
      </w:pPr>
      <w:r w:rsidRPr="06E70375">
        <w:rPr>
          <w:rFonts w:cs="Arial"/>
          <w:sz w:val="22"/>
          <w:szCs w:val="22"/>
        </w:rPr>
        <w:t xml:space="preserve">Condition </w:t>
      </w:r>
      <w:r w:rsidR="790E4D3C" w:rsidRPr="06E70375">
        <w:rPr>
          <w:rFonts w:cs="Arial"/>
          <w:sz w:val="22"/>
          <w:szCs w:val="22"/>
        </w:rPr>
        <w:t>4</w:t>
      </w:r>
      <w:r w:rsidRPr="06E70375">
        <w:rPr>
          <w:rFonts w:cs="Arial"/>
          <w:sz w:val="22"/>
          <w:szCs w:val="22"/>
        </w:rPr>
        <w:t>: The applicant to work with the Combined Authority on identifying all potential economic benefits that could be secured.</w:t>
      </w:r>
    </w:p>
    <w:p w14:paraId="0BE71FDB" w14:textId="77777777" w:rsidR="00C32B9A" w:rsidRDefault="00C32B9A" w:rsidP="00C32B9A">
      <w:pPr>
        <w:pStyle w:val="NoSpacing"/>
        <w:jc w:val="both"/>
        <w:rPr>
          <w:rFonts w:cs="Arial"/>
          <w:sz w:val="22"/>
          <w:szCs w:val="22"/>
        </w:rPr>
      </w:pPr>
    </w:p>
    <w:p w14:paraId="76DFEA57" w14:textId="271451CD" w:rsidR="004D2CD0" w:rsidRDefault="00C32B9A" w:rsidP="0055111B">
      <w:pPr>
        <w:spacing w:before="120" w:after="120"/>
        <w:ind w:left="709"/>
        <w:jc w:val="both"/>
        <w:rPr>
          <w:rFonts w:eastAsia="Arial" w:cs="Arial"/>
          <w:sz w:val="22"/>
          <w:szCs w:val="22"/>
        </w:rPr>
      </w:pPr>
      <w:r w:rsidRPr="06E70375">
        <w:rPr>
          <w:rFonts w:eastAsia="Arial" w:cs="Arial"/>
          <w:sz w:val="22"/>
          <w:szCs w:val="22"/>
        </w:rPr>
        <w:t xml:space="preserve">The Subsidy Control assessment was undertaken by Alex Rose of specialist DWF. They outlined that the Grant can be awarded on a "no subsidy" basis.  In their view, </w:t>
      </w:r>
      <w:r w:rsidR="00361ADD">
        <w:rPr>
          <w:rFonts w:eastAsia="Arial" w:cs="Arial"/>
          <w:sz w:val="22"/>
          <w:szCs w:val="22"/>
        </w:rPr>
        <w:t>t</w:t>
      </w:r>
      <w:r w:rsidRPr="06E70375">
        <w:rPr>
          <w:rFonts w:eastAsia="Arial" w:cs="Arial"/>
          <w:sz w:val="22"/>
          <w:szCs w:val="22"/>
        </w:rPr>
        <w:t xml:space="preserve">he Council is not an enterprise for the purposes of receipt of this funding to undertake investigations to create the Highline (which will be a </w:t>
      </w:r>
      <w:proofErr w:type="gramStart"/>
      <w:r w:rsidRPr="06E70375">
        <w:rPr>
          <w:rFonts w:eastAsia="Arial" w:cs="Arial"/>
          <w:sz w:val="22"/>
          <w:szCs w:val="22"/>
        </w:rPr>
        <w:t>high level</w:t>
      </w:r>
      <w:proofErr w:type="gramEnd"/>
      <w:r w:rsidRPr="06E70375">
        <w:rPr>
          <w:rFonts w:eastAsia="Arial" w:cs="Arial"/>
          <w:sz w:val="22"/>
          <w:szCs w:val="22"/>
        </w:rPr>
        <w:t xml:space="preserve"> urban park and pedestrian route) as this is not what would be classed as </w:t>
      </w:r>
      <w:r w:rsidRPr="06E70375">
        <w:rPr>
          <w:rFonts w:eastAsia="Arial" w:cs="Arial"/>
          <w:i/>
          <w:iCs/>
          <w:sz w:val="22"/>
          <w:szCs w:val="22"/>
        </w:rPr>
        <w:t>economic activity</w:t>
      </w:r>
      <w:r w:rsidRPr="06E70375">
        <w:rPr>
          <w:rFonts w:eastAsia="Arial" w:cs="Arial"/>
          <w:sz w:val="22"/>
          <w:szCs w:val="22"/>
        </w:rPr>
        <w:t xml:space="preserve">.  This means the Council will not be an enterprise in receipt of this funding hence one of the key requirements for a finding of subsidy is not met.  While investigations relating to the delivery of new pedestrian routes and the actual widening of Pottery Lane West will amount to </w:t>
      </w:r>
      <w:proofErr w:type="gramStart"/>
      <w:r w:rsidRPr="06E70375">
        <w:rPr>
          <w:rFonts w:eastAsia="Arial" w:cs="Arial"/>
          <w:sz w:val="22"/>
          <w:szCs w:val="22"/>
        </w:rPr>
        <w:t>general public</w:t>
      </w:r>
      <w:proofErr w:type="gramEnd"/>
      <w:r w:rsidRPr="06E70375">
        <w:rPr>
          <w:rFonts w:eastAsia="Arial" w:cs="Arial"/>
          <w:sz w:val="22"/>
          <w:szCs w:val="22"/>
        </w:rPr>
        <w:t xml:space="preserve"> infrastructure, given that the works are needed to meet the demands of the new and local population.  It is noted that this will also have the secondary benefit of enabling a neighbouring site to be developed but this is an incidental benefit of the type that arises from most </w:t>
      </w:r>
      <w:proofErr w:type="gramStart"/>
      <w:r w:rsidRPr="06E70375">
        <w:rPr>
          <w:rFonts w:eastAsia="Arial" w:cs="Arial"/>
          <w:sz w:val="22"/>
          <w:szCs w:val="22"/>
        </w:rPr>
        <w:t>general public</w:t>
      </w:r>
      <w:proofErr w:type="gramEnd"/>
      <w:r w:rsidRPr="06E70375">
        <w:rPr>
          <w:rFonts w:eastAsia="Arial" w:cs="Arial"/>
          <w:sz w:val="22"/>
          <w:szCs w:val="22"/>
        </w:rPr>
        <w:t xml:space="preserve"> infrastructure projects that should not compromise the overall finding of no subsidy</w:t>
      </w:r>
      <w:r w:rsidR="6C3A89C4" w:rsidRPr="06E70375">
        <w:rPr>
          <w:rFonts w:eastAsia="Arial" w:cs="Arial"/>
          <w:sz w:val="22"/>
          <w:szCs w:val="22"/>
        </w:rPr>
        <w:t>.</w:t>
      </w:r>
    </w:p>
    <w:p w14:paraId="3FD447FF" w14:textId="77777777" w:rsidR="00C32B9A" w:rsidRPr="00C3483E" w:rsidRDefault="00C32B9A" w:rsidP="00786202">
      <w:pPr>
        <w:pStyle w:val="NoSpacing"/>
        <w:rPr>
          <w:rFonts w:cs="Arial"/>
          <w:b/>
          <w:bCs/>
          <w:sz w:val="22"/>
          <w:szCs w:val="22"/>
        </w:rPr>
      </w:pPr>
    </w:p>
    <w:p w14:paraId="0EECAE57" w14:textId="23671793" w:rsidR="009D47F4" w:rsidRPr="00C3483E" w:rsidRDefault="009D47F4" w:rsidP="00021DB1">
      <w:pPr>
        <w:pStyle w:val="NoSpacing"/>
        <w:numPr>
          <w:ilvl w:val="0"/>
          <w:numId w:val="28"/>
        </w:numPr>
        <w:rPr>
          <w:rFonts w:cs="Arial"/>
          <w:b/>
          <w:bCs/>
          <w:sz w:val="22"/>
          <w:szCs w:val="22"/>
        </w:rPr>
      </w:pPr>
      <w:r w:rsidRPr="00C3483E">
        <w:rPr>
          <w:rFonts w:cs="Arial"/>
          <w:b/>
          <w:bCs/>
          <w:sz w:val="22"/>
          <w:szCs w:val="22"/>
        </w:rPr>
        <w:t xml:space="preserve">Impact on </w:t>
      </w:r>
      <w:proofErr w:type="gramStart"/>
      <w:r w:rsidRPr="00C3483E">
        <w:rPr>
          <w:rFonts w:cs="Arial"/>
          <w:b/>
          <w:bCs/>
          <w:sz w:val="22"/>
          <w:szCs w:val="22"/>
        </w:rPr>
        <w:t>N</w:t>
      </w:r>
      <w:r w:rsidR="00093234" w:rsidRPr="00C3483E">
        <w:rPr>
          <w:rFonts w:cs="Arial"/>
          <w:b/>
          <w:bCs/>
          <w:sz w:val="22"/>
          <w:szCs w:val="22"/>
        </w:rPr>
        <w:t>orth East</w:t>
      </w:r>
      <w:proofErr w:type="gramEnd"/>
      <w:r w:rsidR="00093234" w:rsidRPr="00C3483E">
        <w:rPr>
          <w:rFonts w:cs="Arial"/>
          <w:b/>
          <w:bCs/>
          <w:sz w:val="22"/>
          <w:szCs w:val="22"/>
        </w:rPr>
        <w:t xml:space="preserve"> C</w:t>
      </w:r>
      <w:r w:rsidR="00A71FC9" w:rsidRPr="00C3483E">
        <w:rPr>
          <w:rFonts w:cs="Arial"/>
          <w:b/>
          <w:bCs/>
          <w:sz w:val="22"/>
          <w:szCs w:val="22"/>
        </w:rPr>
        <w:t xml:space="preserve">ombined </w:t>
      </w:r>
      <w:r w:rsidR="00093234" w:rsidRPr="00C3483E">
        <w:rPr>
          <w:rFonts w:cs="Arial"/>
          <w:b/>
          <w:bCs/>
          <w:sz w:val="22"/>
          <w:szCs w:val="22"/>
        </w:rPr>
        <w:t>A</w:t>
      </w:r>
      <w:r w:rsidR="00A71FC9" w:rsidRPr="00C3483E">
        <w:rPr>
          <w:rFonts w:cs="Arial"/>
          <w:b/>
          <w:bCs/>
          <w:sz w:val="22"/>
          <w:szCs w:val="22"/>
        </w:rPr>
        <w:t>uthority</w:t>
      </w:r>
      <w:r w:rsidRPr="00C3483E">
        <w:rPr>
          <w:rFonts w:cs="Arial"/>
          <w:b/>
          <w:bCs/>
          <w:sz w:val="22"/>
          <w:szCs w:val="22"/>
        </w:rPr>
        <w:t xml:space="preserve"> Objectives</w:t>
      </w:r>
      <w:r w:rsidR="004D2CD0" w:rsidRPr="00C3483E">
        <w:rPr>
          <w:rFonts w:cs="Arial"/>
          <w:b/>
          <w:bCs/>
          <w:sz w:val="22"/>
          <w:szCs w:val="22"/>
        </w:rPr>
        <w:t>:</w:t>
      </w:r>
    </w:p>
    <w:p w14:paraId="28E8E6B8" w14:textId="77777777" w:rsidR="009D47F4" w:rsidRPr="00C3483E" w:rsidRDefault="009D47F4" w:rsidP="009D47F4">
      <w:pPr>
        <w:pStyle w:val="NoSpacing"/>
        <w:rPr>
          <w:rFonts w:cs="Arial"/>
          <w:color w:val="00B050"/>
          <w:sz w:val="22"/>
          <w:szCs w:val="22"/>
        </w:rPr>
      </w:pPr>
    </w:p>
    <w:p w14:paraId="09E7F3A5" w14:textId="00304277" w:rsidR="009D47F4" w:rsidRPr="00C3483E" w:rsidRDefault="003526EB" w:rsidP="7E5482E4">
      <w:pPr>
        <w:pStyle w:val="NoSpacing"/>
        <w:ind w:left="709"/>
        <w:jc w:val="both"/>
        <w:rPr>
          <w:rFonts w:cs="Arial"/>
          <w:sz w:val="22"/>
          <w:szCs w:val="22"/>
        </w:rPr>
      </w:pPr>
      <w:r w:rsidRPr="00C3483E">
        <w:rPr>
          <w:rFonts w:cs="Arial"/>
          <w:sz w:val="22"/>
          <w:szCs w:val="22"/>
        </w:rPr>
        <w:t>These projects relate to supporting economic activities via trailblazer funding, which are highlighted in the Devolution Deal, with the Forth Yards area designated as a major strategic site to deliver significant new homes and new economic activity within the Combined Authority area.</w:t>
      </w:r>
    </w:p>
    <w:p w14:paraId="227AA968" w14:textId="77777777" w:rsidR="009D47F4" w:rsidRPr="00C3483E" w:rsidRDefault="009D47F4" w:rsidP="009D47F4">
      <w:pPr>
        <w:pStyle w:val="NoSpacing"/>
        <w:rPr>
          <w:rFonts w:cs="Arial"/>
          <w:color w:val="00B050"/>
          <w:sz w:val="22"/>
          <w:szCs w:val="22"/>
        </w:rPr>
      </w:pPr>
    </w:p>
    <w:p w14:paraId="56C1B18E" w14:textId="45002D41" w:rsidR="009D47F4" w:rsidRPr="00C3483E" w:rsidRDefault="009D47F4" w:rsidP="00F51D95">
      <w:pPr>
        <w:pStyle w:val="NoSpacing"/>
        <w:numPr>
          <w:ilvl w:val="0"/>
          <w:numId w:val="28"/>
        </w:numPr>
        <w:rPr>
          <w:rFonts w:cs="Arial"/>
          <w:b/>
          <w:bCs/>
          <w:sz w:val="22"/>
          <w:szCs w:val="22"/>
        </w:rPr>
      </w:pPr>
      <w:r w:rsidRPr="00C3483E">
        <w:rPr>
          <w:rFonts w:cs="Arial"/>
          <w:b/>
          <w:bCs/>
          <w:sz w:val="22"/>
          <w:szCs w:val="22"/>
        </w:rPr>
        <w:t>Key risks</w:t>
      </w:r>
      <w:r w:rsidR="004D2CD0" w:rsidRPr="00C3483E">
        <w:rPr>
          <w:rFonts w:cs="Arial"/>
          <w:b/>
          <w:bCs/>
          <w:sz w:val="22"/>
          <w:szCs w:val="22"/>
        </w:rPr>
        <w:t>:</w:t>
      </w:r>
    </w:p>
    <w:p w14:paraId="5FC565F5" w14:textId="77777777" w:rsidR="009D47F4" w:rsidRPr="00C3483E" w:rsidRDefault="009D47F4" w:rsidP="009D47F4">
      <w:pPr>
        <w:pStyle w:val="NoSpacing"/>
        <w:rPr>
          <w:rFonts w:cs="Arial"/>
          <w:sz w:val="22"/>
          <w:szCs w:val="22"/>
        </w:rPr>
      </w:pPr>
    </w:p>
    <w:p w14:paraId="5D3B8AA7" w14:textId="30B3C6E0" w:rsidR="00C3483E" w:rsidRDefault="00C3483E" w:rsidP="1E60542B">
      <w:pPr>
        <w:pStyle w:val="NoSpacing"/>
        <w:ind w:left="720"/>
        <w:jc w:val="both"/>
        <w:rPr>
          <w:rFonts w:cs="Arial"/>
          <w:sz w:val="22"/>
          <w:szCs w:val="22"/>
        </w:rPr>
      </w:pPr>
      <w:r w:rsidRPr="1E60542B">
        <w:rPr>
          <w:rFonts w:cs="Arial"/>
          <w:sz w:val="22"/>
          <w:szCs w:val="22"/>
        </w:rPr>
        <w:t xml:space="preserve">A full RAG assessment and risk register has been submitted alongside the Business case. </w:t>
      </w:r>
      <w:r w:rsidR="003526EB" w:rsidRPr="1E60542B">
        <w:rPr>
          <w:rFonts w:cs="Arial"/>
          <w:sz w:val="22"/>
          <w:szCs w:val="22"/>
        </w:rPr>
        <w:t>The risks associated with this application (delivery of a capital works programme, on time and to budget) are mitigated through funding conditions. These include project phasing and associated progress assessment, and the ability for funding clawback and/or the applicant having to cover any cost overruns identified.</w:t>
      </w:r>
    </w:p>
    <w:p w14:paraId="3FEB57C5" w14:textId="48748A0E" w:rsidR="1E60542B" w:rsidRDefault="1E60542B" w:rsidP="1E60542B">
      <w:pPr>
        <w:pStyle w:val="NoSpacing"/>
        <w:ind w:left="720"/>
        <w:jc w:val="both"/>
        <w:rPr>
          <w:rFonts w:cs="Arial"/>
          <w:sz w:val="22"/>
          <w:szCs w:val="22"/>
        </w:rPr>
      </w:pPr>
    </w:p>
    <w:p w14:paraId="1E7524D2" w14:textId="5ACBB90E" w:rsidR="009D47F4" w:rsidRPr="00C3483E" w:rsidRDefault="009D47F4" w:rsidP="00447F98">
      <w:pPr>
        <w:pStyle w:val="NoSpacing"/>
        <w:numPr>
          <w:ilvl w:val="0"/>
          <w:numId w:val="28"/>
        </w:numPr>
        <w:jc w:val="both"/>
        <w:rPr>
          <w:rFonts w:cs="Arial"/>
          <w:b/>
          <w:bCs/>
          <w:sz w:val="22"/>
          <w:szCs w:val="22"/>
        </w:rPr>
      </w:pPr>
      <w:r w:rsidRPr="06E70375">
        <w:rPr>
          <w:rFonts w:cs="Arial"/>
          <w:b/>
          <w:bCs/>
          <w:sz w:val="22"/>
          <w:szCs w:val="22"/>
        </w:rPr>
        <w:t>Financial and other resources implications</w:t>
      </w:r>
      <w:r w:rsidR="004D2CD0" w:rsidRPr="06E70375">
        <w:rPr>
          <w:rFonts w:cs="Arial"/>
          <w:b/>
          <w:bCs/>
          <w:sz w:val="22"/>
          <w:szCs w:val="22"/>
        </w:rPr>
        <w:t>:</w:t>
      </w:r>
    </w:p>
    <w:p w14:paraId="0F123FFE" w14:textId="77777777" w:rsidR="009D47F4" w:rsidRPr="00C3483E" w:rsidRDefault="009D47F4" w:rsidP="009D47F4">
      <w:pPr>
        <w:pStyle w:val="NoSpacing"/>
        <w:ind w:left="709"/>
        <w:rPr>
          <w:rFonts w:cs="Arial"/>
          <w:sz w:val="22"/>
          <w:szCs w:val="22"/>
        </w:rPr>
      </w:pPr>
    </w:p>
    <w:p w14:paraId="564B8F6F" w14:textId="182F05A6" w:rsidR="009D47F4" w:rsidRPr="00C3483E" w:rsidRDefault="003526EB" w:rsidP="003526EB">
      <w:pPr>
        <w:pStyle w:val="NoSpacing"/>
        <w:ind w:left="709"/>
        <w:jc w:val="both"/>
        <w:rPr>
          <w:rFonts w:cs="Arial"/>
          <w:sz w:val="22"/>
          <w:szCs w:val="22"/>
        </w:rPr>
      </w:pPr>
      <w:r w:rsidRPr="1E60542B">
        <w:rPr>
          <w:rFonts w:cs="Arial"/>
          <w:sz w:val="22"/>
          <w:szCs w:val="22"/>
        </w:rPr>
        <w:t xml:space="preserve">The allocation for this project was identified within the Trailblazer Devolution agreement, allocating £5million from central government to deliver a time bound one off capital works programme by end </w:t>
      </w:r>
      <w:r w:rsidR="3848065E" w:rsidRPr="1E60542B">
        <w:rPr>
          <w:rFonts w:cs="Arial"/>
          <w:sz w:val="22"/>
          <w:szCs w:val="22"/>
        </w:rPr>
        <w:t>M</w:t>
      </w:r>
      <w:r w:rsidRPr="1E60542B">
        <w:rPr>
          <w:rFonts w:cs="Arial"/>
          <w:sz w:val="22"/>
          <w:szCs w:val="22"/>
        </w:rPr>
        <w:t xml:space="preserve">arch 2025. This allocation was set out and approved at Cabinet </w:t>
      </w:r>
      <w:r w:rsidR="2C74CB29" w:rsidRPr="1E60542B">
        <w:rPr>
          <w:rFonts w:cs="Arial"/>
          <w:sz w:val="22"/>
          <w:szCs w:val="22"/>
        </w:rPr>
        <w:t xml:space="preserve">on 11 June 2024. </w:t>
      </w:r>
    </w:p>
    <w:p w14:paraId="2BCA8B0A" w14:textId="77777777" w:rsidR="009D47F4" w:rsidRPr="00C3483E" w:rsidRDefault="009D47F4" w:rsidP="009D47F4">
      <w:pPr>
        <w:pStyle w:val="NoSpacing"/>
        <w:rPr>
          <w:rFonts w:cs="Arial"/>
          <w:color w:val="00B050"/>
          <w:sz w:val="22"/>
          <w:szCs w:val="22"/>
        </w:rPr>
      </w:pPr>
    </w:p>
    <w:p w14:paraId="1444BFD3" w14:textId="30BCE56C" w:rsidR="009D47F4" w:rsidRPr="00C3483E" w:rsidRDefault="009D47F4" w:rsidP="00F51D95">
      <w:pPr>
        <w:pStyle w:val="NoSpacing"/>
        <w:numPr>
          <w:ilvl w:val="0"/>
          <w:numId w:val="28"/>
        </w:numPr>
        <w:rPr>
          <w:rFonts w:cs="Arial"/>
          <w:b/>
          <w:bCs/>
          <w:sz w:val="22"/>
          <w:szCs w:val="22"/>
        </w:rPr>
      </w:pPr>
      <w:r w:rsidRPr="00C3483E">
        <w:rPr>
          <w:rFonts w:cs="Arial"/>
          <w:b/>
          <w:bCs/>
          <w:sz w:val="22"/>
          <w:szCs w:val="22"/>
        </w:rPr>
        <w:t>Legal implications</w:t>
      </w:r>
      <w:r w:rsidR="004D2CD0" w:rsidRPr="00C3483E">
        <w:rPr>
          <w:rFonts w:cs="Arial"/>
          <w:b/>
          <w:bCs/>
          <w:sz w:val="22"/>
          <w:szCs w:val="22"/>
        </w:rPr>
        <w:t>:</w:t>
      </w:r>
    </w:p>
    <w:p w14:paraId="2C7FB62E" w14:textId="77777777" w:rsidR="009D47F4" w:rsidRPr="00C3483E" w:rsidRDefault="009D47F4" w:rsidP="009D47F4">
      <w:pPr>
        <w:pStyle w:val="NoSpacing"/>
        <w:rPr>
          <w:rFonts w:cs="Arial"/>
          <w:sz w:val="22"/>
          <w:szCs w:val="22"/>
        </w:rPr>
      </w:pPr>
    </w:p>
    <w:p w14:paraId="5F4BEB40" w14:textId="1D40403D" w:rsidR="009D47F4" w:rsidRPr="00C3483E" w:rsidRDefault="003526EB" w:rsidP="003526EB">
      <w:pPr>
        <w:pStyle w:val="NoSpacing"/>
        <w:ind w:left="709"/>
        <w:rPr>
          <w:rFonts w:cs="Arial"/>
          <w:color w:val="00B050"/>
          <w:sz w:val="22"/>
          <w:szCs w:val="22"/>
        </w:rPr>
      </w:pPr>
      <w:r w:rsidRPr="00C3483E">
        <w:rPr>
          <w:rFonts w:cs="Arial"/>
          <w:sz w:val="22"/>
          <w:szCs w:val="22"/>
        </w:rPr>
        <w:t>The comments of the Monitoring Officer are included in the report.</w:t>
      </w:r>
    </w:p>
    <w:p w14:paraId="149E94E9" w14:textId="77777777" w:rsidR="00F73618" w:rsidRPr="00C3483E" w:rsidRDefault="00F73618" w:rsidP="003526EB">
      <w:pPr>
        <w:pStyle w:val="NoSpacing"/>
        <w:rPr>
          <w:rFonts w:cs="Arial"/>
          <w:color w:val="00B050"/>
          <w:sz w:val="22"/>
          <w:szCs w:val="22"/>
        </w:rPr>
      </w:pPr>
    </w:p>
    <w:p w14:paraId="7E8CF014" w14:textId="59BA3042" w:rsidR="009D47F4" w:rsidRPr="00C3483E" w:rsidRDefault="009D47F4" w:rsidP="00F51D95">
      <w:pPr>
        <w:pStyle w:val="NoSpacing"/>
        <w:numPr>
          <w:ilvl w:val="0"/>
          <w:numId w:val="28"/>
        </w:numPr>
        <w:rPr>
          <w:rFonts w:cs="Arial"/>
          <w:b/>
          <w:bCs/>
          <w:sz w:val="22"/>
          <w:szCs w:val="22"/>
        </w:rPr>
      </w:pPr>
      <w:r w:rsidRPr="00C3483E">
        <w:rPr>
          <w:rFonts w:cs="Arial"/>
          <w:b/>
          <w:bCs/>
          <w:sz w:val="22"/>
          <w:szCs w:val="22"/>
        </w:rPr>
        <w:t>Equalities implications</w:t>
      </w:r>
      <w:r w:rsidR="004D2CD0" w:rsidRPr="00C3483E">
        <w:rPr>
          <w:rFonts w:cs="Arial"/>
          <w:b/>
          <w:bCs/>
          <w:sz w:val="22"/>
          <w:szCs w:val="22"/>
        </w:rPr>
        <w:t>:</w:t>
      </w:r>
    </w:p>
    <w:p w14:paraId="45071EA8" w14:textId="77777777" w:rsidR="003526EB" w:rsidRPr="00C3483E" w:rsidRDefault="003526EB" w:rsidP="003526EB">
      <w:pPr>
        <w:pStyle w:val="NoSpacing"/>
        <w:rPr>
          <w:rFonts w:cs="Arial"/>
          <w:b/>
          <w:bCs/>
          <w:sz w:val="22"/>
          <w:szCs w:val="22"/>
        </w:rPr>
      </w:pPr>
    </w:p>
    <w:p w14:paraId="74D81F13" w14:textId="04B3C4C0" w:rsidR="003526EB" w:rsidRPr="00C3483E" w:rsidRDefault="003526EB" w:rsidP="003526EB">
      <w:pPr>
        <w:pStyle w:val="NoSpacing"/>
        <w:ind w:left="720"/>
        <w:jc w:val="both"/>
        <w:rPr>
          <w:rFonts w:cs="Arial"/>
          <w:b/>
          <w:bCs/>
          <w:sz w:val="22"/>
          <w:szCs w:val="22"/>
        </w:rPr>
      </w:pPr>
      <w:proofErr w:type="gramStart"/>
      <w:r w:rsidRPr="06E70375">
        <w:rPr>
          <w:rFonts w:cs="Arial"/>
          <w:sz w:val="22"/>
          <w:szCs w:val="22"/>
        </w:rPr>
        <w:t>N</w:t>
      </w:r>
      <w:r w:rsidR="5DD839E9" w:rsidRPr="06E70375">
        <w:rPr>
          <w:rFonts w:cs="Arial"/>
          <w:sz w:val="22"/>
          <w:szCs w:val="22"/>
        </w:rPr>
        <w:t>orth East</w:t>
      </w:r>
      <w:proofErr w:type="gramEnd"/>
      <w:r w:rsidR="5DD839E9" w:rsidRPr="06E70375">
        <w:rPr>
          <w:rFonts w:cs="Arial"/>
          <w:sz w:val="22"/>
          <w:szCs w:val="22"/>
        </w:rPr>
        <w:t xml:space="preserve"> </w:t>
      </w:r>
      <w:r w:rsidRPr="06E70375">
        <w:rPr>
          <w:rFonts w:cs="Arial"/>
          <w:sz w:val="22"/>
          <w:szCs w:val="22"/>
        </w:rPr>
        <w:t xml:space="preserve">CA is committed to driving equality and diversity. The measures contained within this paper will help meet duties under the Equality Act 2010, particularly around advancing equality of opportunity for those with protected characteristics, particularly </w:t>
      </w:r>
      <w:proofErr w:type="gramStart"/>
      <w:r w:rsidRPr="06E70375">
        <w:rPr>
          <w:rFonts w:cs="Arial"/>
          <w:sz w:val="22"/>
          <w:szCs w:val="22"/>
        </w:rPr>
        <w:t>with regard to</w:t>
      </w:r>
      <w:proofErr w:type="gramEnd"/>
      <w:r w:rsidRPr="06E70375">
        <w:rPr>
          <w:rFonts w:cs="Arial"/>
          <w:sz w:val="22"/>
          <w:szCs w:val="22"/>
        </w:rPr>
        <w:t xml:space="preserve"> socio-economic background.</w:t>
      </w:r>
    </w:p>
    <w:p w14:paraId="68710C69" w14:textId="2050F451" w:rsidR="06E70375" w:rsidRDefault="06E70375" w:rsidP="06E70375">
      <w:pPr>
        <w:pStyle w:val="NoSpacing"/>
        <w:ind w:left="720"/>
        <w:jc w:val="both"/>
        <w:rPr>
          <w:rFonts w:cs="Arial"/>
          <w:sz w:val="22"/>
          <w:szCs w:val="22"/>
        </w:rPr>
      </w:pPr>
    </w:p>
    <w:p w14:paraId="62B70260" w14:textId="77777777" w:rsidR="00447F98" w:rsidRDefault="00447F98" w:rsidP="06E70375">
      <w:pPr>
        <w:pStyle w:val="NoSpacing"/>
        <w:ind w:left="720"/>
        <w:jc w:val="both"/>
        <w:rPr>
          <w:rFonts w:cs="Arial"/>
          <w:sz w:val="22"/>
          <w:szCs w:val="22"/>
        </w:rPr>
      </w:pPr>
    </w:p>
    <w:p w14:paraId="1F66CAE2" w14:textId="77777777" w:rsidR="00447F98" w:rsidRDefault="00447F98" w:rsidP="06E70375">
      <w:pPr>
        <w:pStyle w:val="NoSpacing"/>
        <w:ind w:left="720"/>
        <w:jc w:val="both"/>
        <w:rPr>
          <w:rFonts w:cs="Arial"/>
          <w:sz w:val="22"/>
          <w:szCs w:val="22"/>
        </w:rPr>
      </w:pPr>
    </w:p>
    <w:p w14:paraId="25C3626E" w14:textId="77777777" w:rsidR="00447F98" w:rsidRDefault="00447F98" w:rsidP="06E70375">
      <w:pPr>
        <w:pStyle w:val="NoSpacing"/>
        <w:ind w:left="720"/>
        <w:jc w:val="both"/>
        <w:rPr>
          <w:rFonts w:cs="Arial"/>
          <w:sz w:val="22"/>
          <w:szCs w:val="22"/>
        </w:rPr>
      </w:pPr>
    </w:p>
    <w:p w14:paraId="513C53C7" w14:textId="77777777" w:rsidR="00447F98" w:rsidRDefault="00447F98" w:rsidP="06E70375">
      <w:pPr>
        <w:pStyle w:val="NoSpacing"/>
        <w:ind w:left="720"/>
        <w:jc w:val="both"/>
        <w:rPr>
          <w:rFonts w:cs="Arial"/>
          <w:sz w:val="22"/>
          <w:szCs w:val="22"/>
        </w:rPr>
      </w:pPr>
    </w:p>
    <w:p w14:paraId="7FE33CCD" w14:textId="77777777" w:rsidR="009D47F4" w:rsidRPr="00C3483E" w:rsidRDefault="009D47F4" w:rsidP="009D47F4">
      <w:pPr>
        <w:pStyle w:val="NoSpacing"/>
        <w:rPr>
          <w:rFonts w:cs="Arial"/>
          <w:b/>
          <w:bCs/>
          <w:sz w:val="22"/>
          <w:szCs w:val="22"/>
        </w:rPr>
      </w:pPr>
    </w:p>
    <w:p w14:paraId="6D0FF857" w14:textId="56DA2D84" w:rsidR="009D47F4" w:rsidRPr="00C3483E" w:rsidRDefault="009D47F4" w:rsidP="00F51D95">
      <w:pPr>
        <w:pStyle w:val="NoSpacing"/>
        <w:numPr>
          <w:ilvl w:val="0"/>
          <w:numId w:val="28"/>
        </w:numPr>
        <w:rPr>
          <w:rFonts w:cs="Arial"/>
          <w:b/>
          <w:bCs/>
          <w:sz w:val="22"/>
          <w:szCs w:val="22"/>
        </w:rPr>
      </w:pPr>
      <w:r w:rsidRPr="00C3483E">
        <w:rPr>
          <w:rFonts w:cs="Arial"/>
          <w:b/>
          <w:bCs/>
          <w:sz w:val="22"/>
          <w:szCs w:val="22"/>
        </w:rPr>
        <w:t>Consultation and engagement</w:t>
      </w:r>
      <w:r w:rsidR="004D2CD0" w:rsidRPr="00C3483E">
        <w:rPr>
          <w:rFonts w:cs="Arial"/>
          <w:b/>
          <w:bCs/>
          <w:sz w:val="22"/>
          <w:szCs w:val="22"/>
        </w:rPr>
        <w:t>:</w:t>
      </w:r>
    </w:p>
    <w:p w14:paraId="18B70DE1" w14:textId="77777777" w:rsidR="009D47F4" w:rsidRPr="00C3483E" w:rsidRDefault="009D47F4" w:rsidP="009D47F4">
      <w:pPr>
        <w:pStyle w:val="NoSpacing"/>
        <w:rPr>
          <w:rFonts w:cs="Arial"/>
          <w:color w:val="00B050"/>
          <w:sz w:val="22"/>
          <w:szCs w:val="22"/>
        </w:rPr>
      </w:pPr>
    </w:p>
    <w:p w14:paraId="11CB980D" w14:textId="5BB67F07" w:rsidR="009D47F4" w:rsidRPr="00C3483E" w:rsidRDefault="003526EB" w:rsidP="003526EB">
      <w:pPr>
        <w:pStyle w:val="NoSpacing"/>
        <w:ind w:left="709"/>
        <w:jc w:val="both"/>
        <w:rPr>
          <w:rFonts w:cs="Arial"/>
          <w:sz w:val="22"/>
          <w:szCs w:val="22"/>
        </w:rPr>
      </w:pPr>
      <w:r w:rsidRPr="00C3483E">
        <w:rPr>
          <w:rFonts w:cs="Arial"/>
          <w:sz w:val="22"/>
          <w:szCs w:val="22"/>
        </w:rPr>
        <w:t>Extensive consultation is underway locally in West central Newcastle, via the Council and their wider partners (particularly Homes England), and with all relevant stakeholders, pertaining to the future regeneration of the Forth yards area.</w:t>
      </w:r>
    </w:p>
    <w:p w14:paraId="13331AB1" w14:textId="77777777" w:rsidR="003526EB" w:rsidRPr="00C3483E" w:rsidRDefault="003526EB" w:rsidP="009D47F4">
      <w:pPr>
        <w:pStyle w:val="NoSpacing"/>
        <w:ind w:left="709"/>
        <w:rPr>
          <w:rFonts w:cs="Arial"/>
          <w:sz w:val="22"/>
          <w:szCs w:val="22"/>
        </w:rPr>
      </w:pPr>
    </w:p>
    <w:p w14:paraId="50D636B7" w14:textId="3FC036D7" w:rsidR="009D47F4" w:rsidRPr="00C3483E" w:rsidRDefault="009D47F4" w:rsidP="004D2CD0">
      <w:pPr>
        <w:pStyle w:val="NoSpacing"/>
        <w:numPr>
          <w:ilvl w:val="0"/>
          <w:numId w:val="28"/>
        </w:numPr>
        <w:rPr>
          <w:rFonts w:cs="Arial"/>
          <w:b/>
          <w:bCs/>
          <w:sz w:val="22"/>
          <w:szCs w:val="22"/>
        </w:rPr>
      </w:pPr>
      <w:r w:rsidRPr="1E60542B">
        <w:rPr>
          <w:rFonts w:cs="Arial"/>
          <w:b/>
          <w:bCs/>
          <w:sz w:val="22"/>
          <w:szCs w:val="22"/>
        </w:rPr>
        <w:t>Appendices</w:t>
      </w:r>
      <w:r w:rsidR="004D2CD0" w:rsidRPr="1E60542B">
        <w:rPr>
          <w:rFonts w:cs="Arial"/>
          <w:b/>
          <w:bCs/>
          <w:sz w:val="22"/>
          <w:szCs w:val="22"/>
        </w:rPr>
        <w:t>:</w:t>
      </w:r>
      <w:r>
        <w:tab/>
      </w:r>
    </w:p>
    <w:p w14:paraId="4521C2D7" w14:textId="6DEE871D" w:rsidR="1E60542B" w:rsidRDefault="1E60542B" w:rsidP="1E60542B">
      <w:pPr>
        <w:pStyle w:val="NoSpacing"/>
        <w:rPr>
          <w:rFonts w:cs="Arial"/>
          <w:b/>
          <w:bCs/>
          <w:sz w:val="22"/>
          <w:szCs w:val="22"/>
        </w:rPr>
      </w:pPr>
    </w:p>
    <w:p w14:paraId="3D48D6D9" w14:textId="0AFE18A3" w:rsidR="372ED0F2" w:rsidRDefault="372ED0F2" w:rsidP="1E60542B">
      <w:pPr>
        <w:pStyle w:val="NoSpacing"/>
        <w:ind w:firstLine="720"/>
        <w:rPr>
          <w:rFonts w:cs="Arial"/>
          <w:sz w:val="22"/>
          <w:szCs w:val="22"/>
        </w:rPr>
      </w:pPr>
      <w:r w:rsidRPr="06E70375">
        <w:rPr>
          <w:rFonts w:cs="Arial"/>
          <w:sz w:val="22"/>
          <w:szCs w:val="22"/>
        </w:rPr>
        <w:t xml:space="preserve">Attached </w:t>
      </w:r>
      <w:r w:rsidR="361064D5" w:rsidRPr="06E70375">
        <w:rPr>
          <w:rFonts w:cs="Arial"/>
          <w:sz w:val="22"/>
          <w:szCs w:val="22"/>
        </w:rPr>
        <w:t>below is a</w:t>
      </w:r>
      <w:r w:rsidRPr="06E70375">
        <w:rPr>
          <w:rFonts w:cs="Arial"/>
          <w:sz w:val="22"/>
          <w:szCs w:val="22"/>
        </w:rPr>
        <w:t xml:space="preserve"> </w:t>
      </w:r>
      <w:r w:rsidR="4954ACC4" w:rsidRPr="06E70375">
        <w:rPr>
          <w:rFonts w:cs="Arial"/>
          <w:sz w:val="22"/>
          <w:szCs w:val="22"/>
        </w:rPr>
        <w:t>technical drawing</w:t>
      </w:r>
      <w:r w:rsidRPr="06E70375">
        <w:rPr>
          <w:rFonts w:cs="Arial"/>
          <w:sz w:val="22"/>
          <w:szCs w:val="22"/>
        </w:rPr>
        <w:t>, outlining details of the location and nature of the works</w:t>
      </w:r>
      <w:r w:rsidR="22020EAE" w:rsidRPr="06E70375">
        <w:rPr>
          <w:rFonts w:cs="Arial"/>
          <w:sz w:val="22"/>
          <w:szCs w:val="22"/>
        </w:rPr>
        <w:t xml:space="preserve">, as </w:t>
      </w:r>
      <w:r>
        <w:tab/>
      </w:r>
      <w:r w:rsidR="1EFD03C4" w:rsidRPr="06E70375">
        <w:rPr>
          <w:rFonts w:cs="Arial"/>
          <w:sz w:val="22"/>
          <w:szCs w:val="22"/>
        </w:rPr>
        <w:t>requested</w:t>
      </w:r>
      <w:r w:rsidR="22020EAE" w:rsidRPr="06E70375">
        <w:rPr>
          <w:rFonts w:cs="Arial"/>
          <w:sz w:val="22"/>
          <w:szCs w:val="22"/>
        </w:rPr>
        <w:t xml:space="preserve"> at the Technical Officers Group</w:t>
      </w:r>
      <w:r w:rsidR="6E976A58" w:rsidRPr="06E70375">
        <w:rPr>
          <w:rFonts w:cs="Arial"/>
          <w:sz w:val="22"/>
          <w:szCs w:val="22"/>
        </w:rPr>
        <w:t xml:space="preserve"> meeting</w:t>
      </w:r>
      <w:r w:rsidR="00FE7352">
        <w:rPr>
          <w:rFonts w:cs="Arial"/>
          <w:sz w:val="22"/>
          <w:szCs w:val="22"/>
        </w:rPr>
        <w:t xml:space="preserve"> on 1 July 2024</w:t>
      </w:r>
      <w:r w:rsidR="6E976A58" w:rsidRPr="06E70375">
        <w:rPr>
          <w:rFonts w:cs="Arial"/>
          <w:sz w:val="22"/>
          <w:szCs w:val="22"/>
        </w:rPr>
        <w:t>.</w:t>
      </w:r>
    </w:p>
    <w:p w14:paraId="44FDDCD4" w14:textId="77777777" w:rsidR="009D47F4" w:rsidRPr="00C3483E" w:rsidRDefault="009D47F4" w:rsidP="009D47F4">
      <w:pPr>
        <w:pStyle w:val="NoSpacing"/>
        <w:rPr>
          <w:rFonts w:cs="Arial"/>
          <w:color w:val="00B050"/>
          <w:sz w:val="22"/>
          <w:szCs w:val="22"/>
        </w:rPr>
      </w:pPr>
    </w:p>
    <w:p w14:paraId="0FDDEC68" w14:textId="77777777" w:rsidR="00681D19" w:rsidRPr="00C3483E" w:rsidRDefault="009D47F4" w:rsidP="00F51D95">
      <w:pPr>
        <w:pStyle w:val="NoSpacing"/>
        <w:numPr>
          <w:ilvl w:val="0"/>
          <w:numId w:val="28"/>
        </w:numPr>
        <w:rPr>
          <w:rFonts w:cs="Arial"/>
          <w:b/>
          <w:bCs/>
          <w:sz w:val="22"/>
          <w:szCs w:val="22"/>
        </w:rPr>
      </w:pPr>
      <w:r w:rsidRPr="00C3483E">
        <w:rPr>
          <w:rFonts w:cs="Arial"/>
          <w:b/>
          <w:bCs/>
          <w:sz w:val="22"/>
          <w:szCs w:val="22"/>
        </w:rPr>
        <w:t>Background papers</w:t>
      </w:r>
    </w:p>
    <w:p w14:paraId="072F0C58" w14:textId="77777777" w:rsidR="00681D19" w:rsidRPr="00C3483E" w:rsidRDefault="00681D19" w:rsidP="00681D19">
      <w:pPr>
        <w:pStyle w:val="NoSpacing"/>
        <w:rPr>
          <w:rFonts w:cs="Arial"/>
          <w:b/>
          <w:bCs/>
          <w:sz w:val="22"/>
          <w:szCs w:val="22"/>
        </w:rPr>
      </w:pPr>
    </w:p>
    <w:p w14:paraId="0E166CFB" w14:textId="296DBEA8" w:rsidR="009D47F4" w:rsidRDefault="00681D19" w:rsidP="3169F3D0">
      <w:pPr>
        <w:pStyle w:val="NoSpacing"/>
        <w:rPr>
          <w:rFonts w:cs="Arial"/>
          <w:sz w:val="22"/>
          <w:szCs w:val="22"/>
        </w:rPr>
      </w:pPr>
      <w:r w:rsidRPr="00C3483E">
        <w:rPr>
          <w:rFonts w:cs="Arial"/>
          <w:b/>
          <w:bCs/>
          <w:sz w:val="22"/>
          <w:szCs w:val="22"/>
        </w:rPr>
        <w:tab/>
      </w:r>
      <w:hyperlink r:id="rId12" w:history="1">
        <w:r w:rsidR="004D2CD0" w:rsidRPr="00C3483E">
          <w:rPr>
            <w:rStyle w:val="Hyperlink"/>
            <w:rFonts w:cs="Arial"/>
            <w:sz w:val="22"/>
            <w:szCs w:val="22"/>
          </w:rPr>
          <w:t>Cabinet Decision Notice - 11 June 2024.pdf</w:t>
        </w:r>
      </w:hyperlink>
    </w:p>
    <w:p w14:paraId="149FE4D0" w14:textId="77777777" w:rsidR="009D47F4" w:rsidRPr="00C3483E" w:rsidRDefault="009D47F4" w:rsidP="009D47F4">
      <w:pPr>
        <w:pStyle w:val="NoSpacing"/>
        <w:rPr>
          <w:rFonts w:cs="Arial"/>
          <w:color w:val="00B050"/>
          <w:sz w:val="22"/>
          <w:szCs w:val="22"/>
        </w:rPr>
      </w:pPr>
    </w:p>
    <w:p w14:paraId="5519A9D2" w14:textId="70B20FC4" w:rsidR="009D47F4" w:rsidRPr="00C3483E" w:rsidRDefault="009D47F4" w:rsidP="00F51D95">
      <w:pPr>
        <w:pStyle w:val="NoSpacing"/>
        <w:numPr>
          <w:ilvl w:val="0"/>
          <w:numId w:val="28"/>
        </w:numPr>
        <w:rPr>
          <w:rFonts w:cs="Arial"/>
          <w:b/>
          <w:bCs/>
          <w:sz w:val="22"/>
          <w:szCs w:val="22"/>
        </w:rPr>
      </w:pPr>
      <w:r w:rsidRPr="00C3483E">
        <w:rPr>
          <w:rFonts w:cs="Arial"/>
          <w:b/>
          <w:bCs/>
          <w:sz w:val="22"/>
          <w:szCs w:val="22"/>
        </w:rPr>
        <w:t>Contact officers</w:t>
      </w:r>
      <w:r w:rsidR="004D2CD0" w:rsidRPr="00C3483E">
        <w:rPr>
          <w:rFonts w:cs="Arial"/>
          <w:b/>
          <w:bCs/>
          <w:sz w:val="22"/>
          <w:szCs w:val="22"/>
        </w:rPr>
        <w:t>:</w:t>
      </w:r>
    </w:p>
    <w:p w14:paraId="5494C836" w14:textId="77777777" w:rsidR="009D47F4" w:rsidRPr="00C3483E" w:rsidRDefault="009D47F4" w:rsidP="009D47F4">
      <w:pPr>
        <w:pStyle w:val="NoSpacing"/>
        <w:rPr>
          <w:rFonts w:cs="Arial"/>
          <w:sz w:val="22"/>
          <w:szCs w:val="22"/>
        </w:rPr>
      </w:pPr>
    </w:p>
    <w:p w14:paraId="6AD1A12C" w14:textId="3CE7C37E" w:rsidR="009D47F4" w:rsidRPr="00C3483E" w:rsidRDefault="00681D19" w:rsidP="009D47F4">
      <w:pPr>
        <w:pStyle w:val="NoSpacing"/>
        <w:ind w:left="709"/>
        <w:rPr>
          <w:rFonts w:cs="Arial"/>
          <w:sz w:val="22"/>
          <w:szCs w:val="22"/>
        </w:rPr>
      </w:pPr>
      <w:r w:rsidRPr="1E60542B">
        <w:rPr>
          <w:rFonts w:cs="Arial"/>
          <w:sz w:val="22"/>
          <w:szCs w:val="22"/>
        </w:rPr>
        <w:t xml:space="preserve">Ian Freshwater, Senior Regeneration and Economic Development </w:t>
      </w:r>
      <w:r w:rsidR="0D5801E5" w:rsidRPr="1E60542B">
        <w:rPr>
          <w:rFonts w:cs="Arial"/>
          <w:sz w:val="22"/>
          <w:szCs w:val="22"/>
        </w:rPr>
        <w:t>Officer</w:t>
      </w:r>
    </w:p>
    <w:p w14:paraId="072101DC" w14:textId="77777777" w:rsidR="009D47F4" w:rsidRPr="00C3483E" w:rsidRDefault="009D47F4" w:rsidP="009D47F4">
      <w:pPr>
        <w:pStyle w:val="NoSpacing"/>
        <w:rPr>
          <w:rFonts w:cs="Arial"/>
          <w:sz w:val="22"/>
          <w:szCs w:val="22"/>
        </w:rPr>
      </w:pPr>
    </w:p>
    <w:p w14:paraId="1BFBBBFA" w14:textId="69BD5C2A" w:rsidR="004D2CD0" w:rsidRPr="00C3483E" w:rsidRDefault="009D47F4" w:rsidP="00C3483E">
      <w:pPr>
        <w:pStyle w:val="NoSpacing"/>
        <w:numPr>
          <w:ilvl w:val="0"/>
          <w:numId w:val="28"/>
        </w:numPr>
        <w:rPr>
          <w:rFonts w:cs="Arial"/>
          <w:color w:val="00B050"/>
          <w:sz w:val="22"/>
          <w:szCs w:val="22"/>
        </w:rPr>
      </w:pPr>
      <w:r w:rsidRPr="00C3483E">
        <w:rPr>
          <w:rFonts w:cs="Arial"/>
          <w:b/>
          <w:bCs/>
          <w:sz w:val="22"/>
          <w:szCs w:val="22"/>
        </w:rPr>
        <w:t>Glossary</w:t>
      </w:r>
      <w:r w:rsidR="00C3483E" w:rsidRPr="00C3483E">
        <w:rPr>
          <w:rFonts w:cs="Arial"/>
          <w:color w:val="00B050"/>
          <w:sz w:val="22"/>
          <w:szCs w:val="22"/>
        </w:rPr>
        <w:t xml:space="preserve">: </w:t>
      </w:r>
      <w:r w:rsidR="00C3483E" w:rsidRPr="00C3483E">
        <w:rPr>
          <w:rFonts w:cs="Arial"/>
          <w:sz w:val="22"/>
          <w:szCs w:val="22"/>
        </w:rPr>
        <w:t>N/A</w:t>
      </w:r>
    </w:p>
    <w:p w14:paraId="4B06DEB3" w14:textId="77777777" w:rsidR="00681D19" w:rsidRPr="00C3483E" w:rsidRDefault="00681D19" w:rsidP="009D47F4">
      <w:pPr>
        <w:pStyle w:val="NoSpacing"/>
        <w:ind w:firstLine="720"/>
        <w:rPr>
          <w:rFonts w:cs="Arial"/>
          <w:sz w:val="22"/>
          <w:szCs w:val="22"/>
        </w:rPr>
      </w:pPr>
    </w:p>
    <w:p w14:paraId="68C01BD1" w14:textId="77777777" w:rsidR="009D47F4" w:rsidRPr="00C3483E" w:rsidRDefault="009D47F4" w:rsidP="00F51D95">
      <w:pPr>
        <w:pStyle w:val="NoSpacing"/>
        <w:numPr>
          <w:ilvl w:val="0"/>
          <w:numId w:val="28"/>
        </w:numPr>
        <w:rPr>
          <w:rFonts w:cs="Arial"/>
          <w:color w:val="00B050"/>
          <w:sz w:val="22"/>
          <w:szCs w:val="22"/>
        </w:rPr>
      </w:pPr>
      <w:r w:rsidRPr="00C3483E">
        <w:rPr>
          <w:rFonts w:cs="Arial"/>
          <w:b/>
          <w:bCs/>
          <w:sz w:val="22"/>
          <w:szCs w:val="22"/>
        </w:rPr>
        <w:t>Sign-off</w:t>
      </w:r>
    </w:p>
    <w:p w14:paraId="773CA975" w14:textId="4E84A5AF" w:rsidR="00BA49CA" w:rsidRPr="00C3483E" w:rsidDel="00BA49CA" w:rsidRDefault="00BA49CA" w:rsidP="00A950B6">
      <w:pPr>
        <w:pStyle w:val="NoSpacing"/>
        <w:rPr>
          <w:rFonts w:cs="Arial"/>
          <w:sz w:val="22"/>
          <w:szCs w:val="22"/>
        </w:rPr>
      </w:pPr>
    </w:p>
    <w:tbl>
      <w:tblPr>
        <w:tblStyle w:val="TableGrid"/>
        <w:tblW w:w="0" w:type="auto"/>
        <w:tblInd w:w="704" w:type="dxa"/>
        <w:tblLook w:val="04A0" w:firstRow="1" w:lastRow="0" w:firstColumn="1" w:lastColumn="0" w:noHBand="0" w:noVBand="1"/>
      </w:tblPr>
      <w:tblGrid>
        <w:gridCol w:w="2409"/>
        <w:gridCol w:w="2410"/>
        <w:gridCol w:w="2694"/>
        <w:gridCol w:w="2126"/>
      </w:tblGrid>
      <w:tr w:rsidR="007839A5" w:rsidRPr="00C3483E" w14:paraId="1490CFA3" w14:textId="77777777" w:rsidTr="007D0A8C">
        <w:tc>
          <w:tcPr>
            <w:tcW w:w="2409" w:type="dxa"/>
          </w:tcPr>
          <w:p w14:paraId="7464ABCE" w14:textId="08BB957C" w:rsidR="00A460F7" w:rsidRPr="00C3483E" w:rsidRDefault="003B47B6" w:rsidP="006E6C2C">
            <w:pPr>
              <w:pStyle w:val="NoSpacing"/>
              <w:numPr>
                <w:ilvl w:val="0"/>
                <w:numId w:val="15"/>
              </w:numPr>
              <w:rPr>
                <w:rFonts w:cs="Arial"/>
                <w:sz w:val="22"/>
                <w:szCs w:val="22"/>
              </w:rPr>
            </w:pPr>
            <w:r w:rsidRPr="00C3483E">
              <w:rPr>
                <w:rFonts w:cs="Arial"/>
                <w:sz w:val="22"/>
                <w:szCs w:val="22"/>
              </w:rPr>
              <w:t>Cabinet Member</w:t>
            </w:r>
            <w:r w:rsidR="00760803" w:rsidRPr="00C3483E">
              <w:rPr>
                <w:rFonts w:cs="Arial"/>
                <w:sz w:val="22"/>
                <w:szCs w:val="22"/>
              </w:rPr>
              <w:t>:</w:t>
            </w:r>
            <w:r w:rsidR="007839A5" w:rsidRPr="00C3483E">
              <w:rPr>
                <w:rFonts w:cs="Arial"/>
                <w:sz w:val="22"/>
                <w:szCs w:val="22"/>
              </w:rPr>
              <w:t xml:space="preserve"> </w:t>
            </w:r>
          </w:p>
          <w:p w14:paraId="0EF054C4" w14:textId="5521D7F2" w:rsidR="007839A5" w:rsidRPr="00C3483E" w:rsidRDefault="007839A5" w:rsidP="00A460F7">
            <w:pPr>
              <w:pStyle w:val="NoSpacing"/>
              <w:ind w:left="360"/>
              <w:rPr>
                <w:rFonts w:cs="Arial"/>
                <w:sz w:val="22"/>
                <w:szCs w:val="22"/>
              </w:rPr>
            </w:pPr>
            <w:r w:rsidRPr="00C3483E">
              <w:rPr>
                <w:rFonts w:cs="Arial"/>
                <w:sz w:val="22"/>
                <w:szCs w:val="22"/>
              </w:rPr>
              <w:t xml:space="preserve">Yes </w:t>
            </w:r>
          </w:p>
        </w:tc>
        <w:tc>
          <w:tcPr>
            <w:tcW w:w="2410" w:type="dxa"/>
          </w:tcPr>
          <w:p w14:paraId="34F0A956" w14:textId="4A971269" w:rsidR="007839A5" w:rsidRPr="00C3483E" w:rsidRDefault="00D14C75" w:rsidP="006E6C2C">
            <w:pPr>
              <w:pStyle w:val="NoSpacing"/>
              <w:numPr>
                <w:ilvl w:val="0"/>
                <w:numId w:val="15"/>
              </w:numPr>
              <w:rPr>
                <w:rFonts w:cs="Arial"/>
                <w:sz w:val="22"/>
                <w:szCs w:val="22"/>
              </w:rPr>
            </w:pPr>
            <w:r w:rsidRPr="00C3483E">
              <w:rPr>
                <w:rFonts w:cs="Arial"/>
                <w:sz w:val="22"/>
                <w:szCs w:val="22"/>
              </w:rPr>
              <w:t>Direc</w:t>
            </w:r>
            <w:r w:rsidR="00E36C6E" w:rsidRPr="00C3483E">
              <w:rPr>
                <w:rFonts w:cs="Arial"/>
                <w:sz w:val="22"/>
                <w:szCs w:val="22"/>
              </w:rPr>
              <w:t>to</w:t>
            </w:r>
            <w:r w:rsidR="00177CE2" w:rsidRPr="00C3483E">
              <w:rPr>
                <w:rFonts w:cs="Arial"/>
                <w:sz w:val="22"/>
                <w:szCs w:val="22"/>
              </w:rPr>
              <w:t>r</w:t>
            </w:r>
            <w:r w:rsidR="00B6769F" w:rsidRPr="00C3483E">
              <w:rPr>
                <w:rFonts w:cs="Arial"/>
                <w:sz w:val="22"/>
                <w:szCs w:val="22"/>
              </w:rPr>
              <w:t>/Head of Service</w:t>
            </w:r>
            <w:r w:rsidR="00760803" w:rsidRPr="00C3483E">
              <w:rPr>
                <w:rFonts w:cs="Arial"/>
                <w:sz w:val="22"/>
                <w:szCs w:val="22"/>
              </w:rPr>
              <w:t>:</w:t>
            </w:r>
            <w:r w:rsidR="007839A5" w:rsidRPr="00C3483E">
              <w:rPr>
                <w:rFonts w:cs="Arial"/>
                <w:sz w:val="22"/>
                <w:szCs w:val="22"/>
              </w:rPr>
              <w:t xml:space="preserve"> Yes</w:t>
            </w:r>
          </w:p>
        </w:tc>
        <w:tc>
          <w:tcPr>
            <w:tcW w:w="2694" w:type="dxa"/>
          </w:tcPr>
          <w:p w14:paraId="4B6F7510" w14:textId="7D780F6A" w:rsidR="007839A5" w:rsidRPr="00C3483E" w:rsidRDefault="00E502E6" w:rsidP="006E6C2C">
            <w:pPr>
              <w:pStyle w:val="NoSpacing"/>
              <w:numPr>
                <w:ilvl w:val="0"/>
                <w:numId w:val="15"/>
              </w:numPr>
              <w:rPr>
                <w:rFonts w:cs="Arial"/>
                <w:sz w:val="22"/>
                <w:szCs w:val="22"/>
              </w:rPr>
            </w:pPr>
            <w:r w:rsidRPr="00C3483E">
              <w:rPr>
                <w:rFonts w:cs="Arial"/>
                <w:sz w:val="22"/>
                <w:szCs w:val="22"/>
              </w:rPr>
              <w:t>Director of Finance</w:t>
            </w:r>
            <w:r w:rsidR="003B47B6" w:rsidRPr="00C3483E">
              <w:rPr>
                <w:rFonts w:cs="Arial"/>
                <w:sz w:val="22"/>
                <w:szCs w:val="22"/>
              </w:rPr>
              <w:t xml:space="preserve"> </w:t>
            </w:r>
            <w:r w:rsidR="007D0A8C" w:rsidRPr="00C3483E">
              <w:rPr>
                <w:rFonts w:cs="Arial"/>
                <w:sz w:val="22"/>
                <w:szCs w:val="22"/>
              </w:rPr>
              <w:t xml:space="preserve">and </w:t>
            </w:r>
            <w:r w:rsidR="003B47B6" w:rsidRPr="00C3483E">
              <w:rPr>
                <w:rFonts w:cs="Arial"/>
                <w:sz w:val="22"/>
                <w:szCs w:val="22"/>
              </w:rPr>
              <w:t>Investment</w:t>
            </w:r>
            <w:r w:rsidR="007839A5" w:rsidRPr="00C3483E">
              <w:rPr>
                <w:rFonts w:cs="Arial"/>
                <w:sz w:val="22"/>
                <w:szCs w:val="22"/>
              </w:rPr>
              <w:t xml:space="preserve">: </w:t>
            </w:r>
          </w:p>
          <w:p w14:paraId="0F9D22AF" w14:textId="4BB1E8E5" w:rsidR="007839A5" w:rsidRPr="00C3483E" w:rsidRDefault="005B20E7" w:rsidP="00A950B6">
            <w:pPr>
              <w:pStyle w:val="NoSpacing"/>
              <w:rPr>
                <w:rFonts w:cs="Arial"/>
                <w:sz w:val="22"/>
                <w:szCs w:val="22"/>
              </w:rPr>
            </w:pPr>
            <w:r>
              <w:rPr>
                <w:rFonts w:cs="Arial"/>
                <w:sz w:val="22"/>
                <w:szCs w:val="22"/>
              </w:rPr>
              <w:t>Yes</w:t>
            </w:r>
          </w:p>
        </w:tc>
        <w:tc>
          <w:tcPr>
            <w:tcW w:w="2126" w:type="dxa"/>
          </w:tcPr>
          <w:p w14:paraId="4605C71A" w14:textId="77777777" w:rsidR="00A460F7" w:rsidRPr="00C3483E" w:rsidRDefault="007839A5" w:rsidP="006E6C2C">
            <w:pPr>
              <w:pStyle w:val="NoSpacing"/>
              <w:numPr>
                <w:ilvl w:val="0"/>
                <w:numId w:val="15"/>
              </w:numPr>
              <w:rPr>
                <w:rFonts w:cs="Arial"/>
                <w:sz w:val="22"/>
                <w:szCs w:val="22"/>
              </w:rPr>
            </w:pPr>
            <w:r w:rsidRPr="00C3483E">
              <w:rPr>
                <w:rFonts w:cs="Arial"/>
                <w:sz w:val="22"/>
                <w:szCs w:val="22"/>
              </w:rPr>
              <w:t xml:space="preserve">Monitoring Officer: </w:t>
            </w:r>
          </w:p>
          <w:p w14:paraId="63AE770A" w14:textId="5F9A6C04" w:rsidR="007839A5" w:rsidRPr="00C3483E" w:rsidRDefault="005B20E7" w:rsidP="00A460F7">
            <w:pPr>
              <w:pStyle w:val="NoSpacing"/>
              <w:ind w:left="360"/>
              <w:rPr>
                <w:rFonts w:cs="Arial"/>
                <w:sz w:val="22"/>
                <w:szCs w:val="22"/>
              </w:rPr>
            </w:pPr>
            <w:r>
              <w:rPr>
                <w:rFonts w:cs="Arial"/>
                <w:sz w:val="22"/>
                <w:szCs w:val="22"/>
              </w:rPr>
              <w:t>Yes</w:t>
            </w:r>
          </w:p>
          <w:p w14:paraId="1A485045" w14:textId="1ECC79A0" w:rsidR="007839A5" w:rsidRPr="00C3483E" w:rsidRDefault="007839A5" w:rsidP="00A950B6">
            <w:pPr>
              <w:pStyle w:val="NoSpacing"/>
              <w:rPr>
                <w:rFonts w:cs="Arial"/>
                <w:sz w:val="22"/>
                <w:szCs w:val="22"/>
              </w:rPr>
            </w:pPr>
          </w:p>
        </w:tc>
      </w:tr>
    </w:tbl>
    <w:p w14:paraId="0F898422" w14:textId="05DD07C0" w:rsidR="1E60542B" w:rsidRDefault="1E60542B" w:rsidP="1E60542B">
      <w:pPr>
        <w:pStyle w:val="NoSpacing"/>
        <w:rPr>
          <w:rFonts w:cs="Arial"/>
          <w:color w:val="00B050"/>
          <w:sz w:val="22"/>
          <w:szCs w:val="22"/>
        </w:rPr>
      </w:pPr>
    </w:p>
    <w:p w14:paraId="2EBE2EDF" w14:textId="1359F150" w:rsidR="1E60542B" w:rsidRDefault="1E60542B" w:rsidP="1E60542B">
      <w:pPr>
        <w:pStyle w:val="NoSpacing"/>
        <w:rPr>
          <w:rFonts w:cs="Arial"/>
          <w:color w:val="00B050"/>
          <w:sz w:val="22"/>
          <w:szCs w:val="22"/>
        </w:rPr>
      </w:pPr>
    </w:p>
    <w:p w14:paraId="13BFEF3B" w14:textId="77777777" w:rsidR="00BF70BB" w:rsidRDefault="00BF70BB">
      <w:pPr>
        <w:rPr>
          <w:rFonts w:cs="Arial"/>
          <w:color w:val="00B050"/>
          <w:sz w:val="22"/>
          <w:szCs w:val="22"/>
        </w:rPr>
      </w:pPr>
      <w:r w:rsidRPr="06E70375">
        <w:rPr>
          <w:rFonts w:cs="Arial"/>
          <w:color w:val="00B050"/>
          <w:sz w:val="22"/>
          <w:szCs w:val="22"/>
        </w:rPr>
        <w:br w:type="page"/>
      </w:r>
    </w:p>
    <w:p w14:paraId="70AF178E" w14:textId="7EF8396C" w:rsidR="271067AA" w:rsidRPr="00FE7352" w:rsidRDefault="271067AA" w:rsidP="1E60542B">
      <w:pPr>
        <w:pStyle w:val="NoSpacing"/>
        <w:rPr>
          <w:rFonts w:cs="Arial"/>
          <w:b/>
          <w:bCs/>
          <w:sz w:val="22"/>
          <w:szCs w:val="22"/>
        </w:rPr>
      </w:pPr>
      <w:r w:rsidRPr="00FE7352">
        <w:rPr>
          <w:rFonts w:cs="Arial"/>
          <w:b/>
          <w:bCs/>
          <w:sz w:val="22"/>
          <w:szCs w:val="22"/>
        </w:rPr>
        <w:lastRenderedPageBreak/>
        <w:t>APPENDICES:</w:t>
      </w:r>
    </w:p>
    <w:p w14:paraId="614CA0DA" w14:textId="4AD36E10" w:rsidR="1E60542B" w:rsidRDefault="1E60542B" w:rsidP="1E60542B">
      <w:pPr>
        <w:pStyle w:val="NoSpacing"/>
        <w:rPr>
          <w:rFonts w:cs="Arial"/>
          <w:color w:val="00B050"/>
          <w:sz w:val="22"/>
          <w:szCs w:val="22"/>
        </w:rPr>
      </w:pPr>
    </w:p>
    <w:p w14:paraId="428AB989" w14:textId="18503BC7" w:rsidR="11976330" w:rsidRDefault="11976330" w:rsidP="1E60542B">
      <w:pPr>
        <w:spacing w:before="85" w:line="218" w:lineRule="auto"/>
        <w:ind w:left="115" w:hanging="9"/>
      </w:pPr>
      <w:r w:rsidRPr="1E60542B">
        <w:rPr>
          <w:rFonts w:eastAsia="Arial" w:cs="Arial"/>
          <w:sz w:val="15"/>
          <w:szCs w:val="15"/>
          <w:lang w:val="en-US"/>
        </w:rPr>
        <w:t>Mott MacDonald | Forth Yards Infrastructure Delivery Revised Draft Report</w:t>
      </w:r>
    </w:p>
    <w:p w14:paraId="30367364" w14:textId="33E34928" w:rsidR="11976330" w:rsidRDefault="11976330" w:rsidP="1E60542B">
      <w:r w:rsidRPr="1E60542B">
        <w:rPr>
          <w:rFonts w:eastAsia="Arial" w:cs="Arial"/>
          <w:sz w:val="16"/>
          <w:szCs w:val="16"/>
          <w:lang w:val="en-US"/>
        </w:rPr>
        <w:t xml:space="preserve"> </w:t>
      </w:r>
    </w:p>
    <w:p w14:paraId="124E01FE" w14:textId="348E97E3" w:rsidR="11976330" w:rsidRDefault="11976330" w:rsidP="1E60542B">
      <w:pPr>
        <w:pStyle w:val="Title"/>
        <w:spacing w:before="118"/>
        <w:ind w:left="110"/>
      </w:pPr>
      <w:r w:rsidRPr="06E70375">
        <w:rPr>
          <w:rFonts w:ascii="Arial" w:eastAsia="Arial" w:hAnsi="Arial" w:cs="Arial"/>
          <w:sz w:val="20"/>
          <w:szCs w:val="20"/>
          <w:lang w:val="en-US"/>
        </w:rPr>
        <w:t xml:space="preserve">Figure </w:t>
      </w:r>
      <w:r w:rsidR="00E331EB" w:rsidRPr="06E70375">
        <w:rPr>
          <w:rFonts w:ascii="Arial" w:eastAsia="Arial" w:hAnsi="Arial" w:cs="Arial"/>
          <w:sz w:val="20"/>
          <w:szCs w:val="20"/>
          <w:lang w:val="en-US"/>
        </w:rPr>
        <w:t>1:</w:t>
      </w:r>
      <w:r w:rsidRPr="06E70375">
        <w:rPr>
          <w:rFonts w:ascii="Arial" w:eastAsia="Arial" w:hAnsi="Arial" w:cs="Arial"/>
          <w:sz w:val="20"/>
          <w:szCs w:val="20"/>
          <w:lang w:val="en-US"/>
        </w:rPr>
        <w:t xml:space="preserve"> Forth Yards study area</w:t>
      </w:r>
      <w:r w:rsidR="0008768F" w:rsidRPr="06E70375">
        <w:rPr>
          <w:rFonts w:ascii="Arial" w:eastAsia="Arial" w:hAnsi="Arial" w:cs="Arial"/>
          <w:sz w:val="20"/>
          <w:szCs w:val="20"/>
          <w:lang w:val="en-US"/>
        </w:rPr>
        <w:t xml:space="preserve"> and location of the Pottery Land and Proposed Highline schemes</w:t>
      </w:r>
    </w:p>
    <w:p w14:paraId="66B1E91C" w14:textId="11E48123" w:rsidR="1E60542B" w:rsidRDefault="1E60542B" w:rsidP="1E60542B">
      <w:pPr>
        <w:rPr>
          <w:rFonts w:eastAsia="Arial" w:cs="Arial"/>
          <w:sz w:val="16"/>
          <w:szCs w:val="16"/>
          <w:lang w:val="en-US"/>
        </w:rPr>
      </w:pPr>
    </w:p>
    <w:p w14:paraId="2CF4974E" w14:textId="2C290798" w:rsidR="11976330" w:rsidRDefault="11976330" w:rsidP="1E60542B">
      <w:r w:rsidRPr="1E60542B">
        <w:rPr>
          <w:rFonts w:eastAsia="Arial" w:cs="Arial"/>
          <w:sz w:val="16"/>
          <w:szCs w:val="16"/>
          <w:lang w:val="en-US"/>
        </w:rPr>
        <w:t xml:space="preserve"> </w:t>
      </w:r>
      <w:r>
        <w:rPr>
          <w:noProof/>
        </w:rPr>
        <w:drawing>
          <wp:inline distT="0" distB="0" distL="0" distR="0" wp14:anchorId="2DBFCC1F" wp14:editId="2DFBB599">
            <wp:extent cx="6638924" cy="4648202"/>
            <wp:effectExtent l="0" t="0" r="0" b="0"/>
            <wp:docPr id="1296165983" name="Picture 1296165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638924" cy="4648202"/>
                    </a:xfrm>
                    <a:prstGeom prst="rect">
                      <a:avLst/>
                    </a:prstGeom>
                  </pic:spPr>
                </pic:pic>
              </a:graphicData>
            </a:graphic>
          </wp:inline>
        </w:drawing>
      </w:r>
      <w:r w:rsidRPr="1E60542B">
        <w:rPr>
          <w:rFonts w:eastAsia="Arial" w:cs="Arial"/>
          <w:sz w:val="22"/>
          <w:szCs w:val="22"/>
          <w:lang w:val="en-US"/>
        </w:rPr>
        <w:t xml:space="preserve"> </w:t>
      </w:r>
    </w:p>
    <w:p w14:paraId="139B8DF7" w14:textId="7100D0FD" w:rsidR="11976330" w:rsidRDefault="11976330" w:rsidP="1E60542B">
      <w:pPr>
        <w:spacing w:before="151"/>
        <w:ind w:left="110"/>
      </w:pPr>
      <w:r w:rsidRPr="1E60542B">
        <w:rPr>
          <w:rFonts w:eastAsia="Arial" w:cs="Arial"/>
          <w:sz w:val="22"/>
          <w:szCs w:val="22"/>
          <w:lang w:val="en-US"/>
        </w:rPr>
        <w:t xml:space="preserve"> </w:t>
      </w:r>
      <w:r w:rsidR="22177479" w:rsidRPr="1E60542B">
        <w:rPr>
          <w:rFonts w:eastAsia="Arial" w:cs="Arial"/>
          <w:sz w:val="16"/>
          <w:szCs w:val="16"/>
          <w:lang w:val="en-US"/>
        </w:rPr>
        <w:t>Source Mott MacDonald, Cushman &amp; Wakefield</w:t>
      </w:r>
    </w:p>
    <w:p w14:paraId="43EA722C" w14:textId="779A4D13" w:rsidR="22177479" w:rsidRDefault="22177479" w:rsidP="1E60542B">
      <w:r w:rsidRPr="1E60542B">
        <w:rPr>
          <w:rFonts w:eastAsia="Arial" w:cs="Arial"/>
          <w:sz w:val="18"/>
          <w:szCs w:val="18"/>
          <w:lang w:val="en-US"/>
        </w:rPr>
        <w:t xml:space="preserve"> </w:t>
      </w:r>
    </w:p>
    <w:p w14:paraId="7A86AC2D" w14:textId="580ADB86" w:rsidR="1E60542B" w:rsidRDefault="1E60542B" w:rsidP="1E60542B">
      <w:pPr>
        <w:rPr>
          <w:rFonts w:eastAsia="Arial" w:cs="Arial"/>
          <w:sz w:val="18"/>
          <w:szCs w:val="18"/>
          <w:lang w:val="en-US"/>
        </w:rPr>
      </w:pPr>
    </w:p>
    <w:p w14:paraId="7F99D5A0" w14:textId="7D1FAFEA" w:rsidR="22177479" w:rsidRDefault="22177479" w:rsidP="1E60542B">
      <w:pPr>
        <w:spacing w:before="4"/>
      </w:pPr>
      <w:r w:rsidRPr="1E60542B">
        <w:rPr>
          <w:rFonts w:eastAsia="Arial" w:cs="Arial"/>
          <w:sz w:val="14"/>
          <w:szCs w:val="14"/>
          <w:lang w:val="en-US"/>
        </w:rPr>
        <w:t xml:space="preserve"> </w:t>
      </w:r>
    </w:p>
    <w:p w14:paraId="3A2F54FE" w14:textId="195FB96A" w:rsidR="22177479" w:rsidRDefault="22177479" w:rsidP="1E60542B">
      <w:pPr>
        <w:ind w:left="121"/>
      </w:pPr>
      <w:r w:rsidRPr="1E60542B">
        <w:rPr>
          <w:rFonts w:eastAsia="Arial" w:cs="Arial"/>
          <w:sz w:val="14"/>
          <w:szCs w:val="14"/>
          <w:lang w:val="en-US"/>
        </w:rPr>
        <w:t>100117503 | 1 | C | | April 2024</w:t>
      </w:r>
    </w:p>
    <w:p w14:paraId="690207C0" w14:textId="76DE2D64" w:rsidR="1E60542B" w:rsidRDefault="1E60542B" w:rsidP="1E60542B">
      <w:pPr>
        <w:rPr>
          <w:rFonts w:eastAsia="Arial" w:cs="Arial"/>
          <w:sz w:val="22"/>
          <w:szCs w:val="22"/>
          <w:lang w:val="en-US"/>
        </w:rPr>
      </w:pPr>
    </w:p>
    <w:p w14:paraId="0029C8FC" w14:textId="5276C04B" w:rsidR="11976330" w:rsidRDefault="11976330" w:rsidP="1E60542B">
      <w:r w:rsidRPr="1E60542B">
        <w:rPr>
          <w:rFonts w:eastAsia="Arial" w:cs="Arial"/>
          <w:sz w:val="22"/>
          <w:szCs w:val="22"/>
          <w:lang w:val="en-US"/>
        </w:rPr>
        <w:t xml:space="preserve"> </w:t>
      </w:r>
    </w:p>
    <w:p w14:paraId="71D3308A" w14:textId="365068C1" w:rsidR="11976330" w:rsidRDefault="11976330" w:rsidP="1E60542B">
      <w:r w:rsidRPr="1E60542B">
        <w:rPr>
          <w:rFonts w:eastAsia="Arial" w:cs="Arial"/>
          <w:sz w:val="22"/>
          <w:szCs w:val="22"/>
          <w:lang w:val="en-US"/>
        </w:rPr>
        <w:t xml:space="preserve"> </w:t>
      </w:r>
    </w:p>
    <w:p w14:paraId="22DD6EF0" w14:textId="34AF3A75" w:rsidR="00E331EB" w:rsidRDefault="00E331EB" w:rsidP="1E60542B">
      <w:pPr>
        <w:rPr>
          <w:rFonts w:eastAsia="Arial" w:cs="Arial"/>
          <w:sz w:val="22"/>
          <w:szCs w:val="22"/>
          <w:lang w:val="en-US"/>
        </w:rPr>
      </w:pPr>
    </w:p>
    <w:p w14:paraId="2D23512F" w14:textId="770BE0FD" w:rsidR="1E60542B" w:rsidRDefault="1E60542B" w:rsidP="06E70375">
      <w:pPr>
        <w:rPr>
          <w:rFonts w:eastAsia="Arial" w:cs="Arial"/>
          <w:sz w:val="22"/>
          <w:szCs w:val="22"/>
          <w:lang w:val="en-US"/>
        </w:rPr>
      </w:pPr>
    </w:p>
    <w:sectPr w:rsidR="1E60542B" w:rsidSect="0087587F">
      <w:headerReference w:type="default" r:id="rId14"/>
      <w:footerReference w:type="default" r:id="rId15"/>
      <w:headerReference w:type="first" r:id="rId16"/>
      <w:footerReference w:type="first" r:id="rId17"/>
      <w:pgSz w:w="11906" w:h="16838"/>
      <w:pgMar w:top="1312" w:right="707" w:bottom="720" w:left="72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6733" w14:textId="77777777" w:rsidR="000D5D79" w:rsidRDefault="000D5D79" w:rsidP="007B4512">
      <w:r>
        <w:separator/>
      </w:r>
    </w:p>
  </w:endnote>
  <w:endnote w:type="continuationSeparator" w:id="0">
    <w:p w14:paraId="2B072428" w14:textId="77777777" w:rsidR="000D5D79" w:rsidRDefault="000D5D79" w:rsidP="007B4512">
      <w:r>
        <w:continuationSeparator/>
      </w:r>
    </w:p>
  </w:endnote>
  <w:endnote w:type="continuationNotice" w:id="1">
    <w:p w14:paraId="25FF3806" w14:textId="77777777" w:rsidR="000D5D79" w:rsidRDefault="000D5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E60542B" w14:paraId="37AD9CAA" w14:textId="77777777" w:rsidTr="1E60542B">
      <w:trPr>
        <w:trHeight w:val="300"/>
      </w:trPr>
      <w:tc>
        <w:tcPr>
          <w:tcW w:w="3485" w:type="dxa"/>
        </w:tcPr>
        <w:p w14:paraId="4EA34075" w14:textId="1FDFFECE" w:rsidR="1E60542B" w:rsidRDefault="1E60542B" w:rsidP="1E60542B">
          <w:pPr>
            <w:pStyle w:val="Header"/>
            <w:ind w:left="-115"/>
          </w:pPr>
        </w:p>
      </w:tc>
      <w:tc>
        <w:tcPr>
          <w:tcW w:w="3485" w:type="dxa"/>
        </w:tcPr>
        <w:p w14:paraId="14A6F707" w14:textId="4C90AEA2" w:rsidR="1E60542B" w:rsidRDefault="1E60542B" w:rsidP="1E60542B">
          <w:pPr>
            <w:pStyle w:val="Header"/>
            <w:jc w:val="center"/>
          </w:pPr>
        </w:p>
      </w:tc>
      <w:tc>
        <w:tcPr>
          <w:tcW w:w="3485" w:type="dxa"/>
        </w:tcPr>
        <w:p w14:paraId="23F39A64" w14:textId="08479D25" w:rsidR="1E60542B" w:rsidRDefault="1E60542B" w:rsidP="1E60542B">
          <w:pPr>
            <w:pStyle w:val="Header"/>
            <w:ind w:right="-115"/>
            <w:jc w:val="right"/>
          </w:pPr>
        </w:p>
      </w:tc>
    </w:tr>
  </w:tbl>
  <w:p w14:paraId="75E93FF0" w14:textId="09D79AF4" w:rsidR="1E60542B" w:rsidRDefault="1E60542B" w:rsidP="1E605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5470"/>
      <w:docPartObj>
        <w:docPartGallery w:val="Page Numbers (Bottom of Page)"/>
        <w:docPartUnique/>
      </w:docPartObj>
    </w:sdtPr>
    <w:sdtEndPr>
      <w:rPr>
        <w:noProof/>
      </w:rPr>
    </w:sdtEndPr>
    <w:sdtContent>
      <w:p w14:paraId="60686461" w14:textId="33423D29" w:rsidR="00AF53EB" w:rsidRDefault="00AF53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8E7D5" w14:textId="3424AA9D" w:rsidR="00F952E1" w:rsidRPr="00520AD5" w:rsidRDefault="00F952E1" w:rsidP="00520AD5">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BEDB" w14:textId="77777777" w:rsidR="000D5D79" w:rsidRDefault="000D5D79" w:rsidP="007B4512">
      <w:r>
        <w:separator/>
      </w:r>
    </w:p>
  </w:footnote>
  <w:footnote w:type="continuationSeparator" w:id="0">
    <w:p w14:paraId="36EAD276" w14:textId="77777777" w:rsidR="000D5D79" w:rsidRDefault="000D5D79" w:rsidP="007B4512">
      <w:r>
        <w:continuationSeparator/>
      </w:r>
    </w:p>
  </w:footnote>
  <w:footnote w:type="continuationNotice" w:id="1">
    <w:p w14:paraId="264B61C4" w14:textId="77777777" w:rsidR="000D5D79" w:rsidRDefault="000D5D79"/>
  </w:footnote>
  <w:footnote w:id="2">
    <w:p w14:paraId="1D8EEE6A" w14:textId="77777777" w:rsidR="00363F19" w:rsidRDefault="00363F19" w:rsidP="00363F19">
      <w:pPr>
        <w:pStyle w:val="FootnoteText"/>
      </w:pPr>
      <w:r>
        <w:rPr>
          <w:rStyle w:val="FootnoteReference"/>
        </w:rPr>
        <w:footnoteRef/>
      </w:r>
      <w:r>
        <w:t xml:space="preserve"> Newcastle City Council’s </w:t>
      </w:r>
      <w:r w:rsidRPr="00435BEE">
        <w:t>2020</w:t>
      </w:r>
      <w:r>
        <w:t xml:space="preserve"> </w:t>
      </w:r>
      <w:r w:rsidRPr="00435BEE">
        <w:t>Forth Yards Development Framework</w:t>
      </w:r>
      <w:r>
        <w:t>, Policies D1 and D3 of the Newcastle Local Plan and the 2024 Forth Yards Infrastructure Delivery Strategy.</w:t>
      </w:r>
    </w:p>
    <w:p w14:paraId="0F5D1A13" w14:textId="77777777" w:rsidR="00363F19" w:rsidRDefault="00363F19" w:rsidP="00363F19">
      <w:pPr>
        <w:pStyle w:val="FootnoteText"/>
      </w:pPr>
    </w:p>
  </w:footnote>
  <w:footnote w:id="3">
    <w:p w14:paraId="335C9C45" w14:textId="710D33F4" w:rsidR="001951F1" w:rsidRPr="001951F1" w:rsidRDefault="001951F1" w:rsidP="001951F1">
      <w:pPr>
        <w:contextualSpacing/>
        <w:jc w:val="both"/>
        <w:rPr>
          <w:rFonts w:eastAsia="Times New Roman" w:cs="Arial"/>
          <w:sz w:val="20"/>
          <w:szCs w:val="20"/>
          <w:lang w:eastAsia="en-GB"/>
        </w:rPr>
      </w:pPr>
      <w:r w:rsidRPr="00D42C44">
        <w:rPr>
          <w:rStyle w:val="FootnoteReference"/>
          <w:sz w:val="20"/>
          <w:szCs w:val="20"/>
        </w:rPr>
        <w:footnoteRef/>
      </w:r>
      <w:r w:rsidR="06E70375" w:rsidRPr="00D42C44">
        <w:rPr>
          <w:sz w:val="20"/>
          <w:szCs w:val="20"/>
        </w:rPr>
        <w:t xml:space="preserve"> </w:t>
      </w:r>
      <w:r w:rsidR="06E70375">
        <w:rPr>
          <w:sz w:val="20"/>
          <w:szCs w:val="20"/>
        </w:rPr>
        <w:t xml:space="preserve">This includes:  </w:t>
      </w:r>
      <w:r w:rsidR="06E70375" w:rsidRPr="001951F1">
        <w:rPr>
          <w:rFonts w:eastAsia="Times New Roman" w:cs="Arial"/>
          <w:sz w:val="20"/>
          <w:szCs w:val="20"/>
          <w:lang w:eastAsia="en-GB"/>
        </w:rPr>
        <w:t>Network Rail ASPRO procedures / Network Change; Planning consultancy / LPA pre-app meetings; Detailed investigation of adjacent land ownership; Feasibility option designs; Feasibility cost estimates; Branding and comms strategy; Detailed viability appraisal modelling; Topographical survey; Ground investigation; Structural surveys of existing viaduct and bridges; Management options/financial business plan; Strategic Outline Case including economic appraisal and financial modelling; Services/utility survey; Ecology survey; Heritage assessment; Drainage survey; Arboriculture survey; Lighting assessment; Air quality survey; Noise survey; Flood risk assessment.</w:t>
      </w:r>
    </w:p>
    <w:p w14:paraId="29861DF8" w14:textId="02E3D471" w:rsidR="001951F1" w:rsidRDefault="001951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E60542B" w14:paraId="225EB1BB" w14:textId="77777777" w:rsidTr="1E60542B">
      <w:trPr>
        <w:trHeight w:val="300"/>
      </w:trPr>
      <w:tc>
        <w:tcPr>
          <w:tcW w:w="3485" w:type="dxa"/>
        </w:tcPr>
        <w:p w14:paraId="7D65832D" w14:textId="6C4C1467" w:rsidR="1E60542B" w:rsidRDefault="1E60542B" w:rsidP="1E60542B">
          <w:pPr>
            <w:pStyle w:val="Header"/>
            <w:ind w:left="-115"/>
          </w:pPr>
        </w:p>
      </w:tc>
      <w:tc>
        <w:tcPr>
          <w:tcW w:w="3485" w:type="dxa"/>
        </w:tcPr>
        <w:p w14:paraId="0DD5DEF7" w14:textId="5BB3959A" w:rsidR="1E60542B" w:rsidRDefault="1E60542B" w:rsidP="1E60542B">
          <w:pPr>
            <w:pStyle w:val="Header"/>
            <w:jc w:val="center"/>
          </w:pPr>
        </w:p>
      </w:tc>
      <w:tc>
        <w:tcPr>
          <w:tcW w:w="3485" w:type="dxa"/>
        </w:tcPr>
        <w:p w14:paraId="4B74DECB" w14:textId="369D0A11" w:rsidR="1E60542B" w:rsidRDefault="1E60542B" w:rsidP="1E60542B">
          <w:pPr>
            <w:pStyle w:val="Header"/>
            <w:ind w:right="-115"/>
            <w:jc w:val="right"/>
          </w:pPr>
        </w:p>
      </w:tc>
    </w:tr>
  </w:tbl>
  <w:p w14:paraId="5713017F" w14:textId="201C0F52" w:rsidR="1E60542B" w:rsidRDefault="1E60542B" w:rsidP="1E605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9E56" w14:textId="123B5F1D" w:rsidR="00BF7B21" w:rsidRPr="002E4E4C" w:rsidRDefault="006258CC" w:rsidP="001465DA">
    <w:pPr>
      <w:ind w:left="4275" w:firstLine="45"/>
      <w:rPr>
        <w:sz w:val="44"/>
        <w:szCs w:val="44"/>
      </w:rPr>
    </w:pPr>
    <w:r>
      <w:rPr>
        <w:b/>
        <w:bCs/>
        <w:noProof/>
        <w:sz w:val="44"/>
        <w:szCs w:val="44"/>
      </w:rPr>
      <w:drawing>
        <wp:anchor distT="0" distB="0" distL="114300" distR="114300" simplePos="0" relativeHeight="251658240" behindDoc="0" locked="0" layoutInCell="1" allowOverlap="1" wp14:anchorId="04C7C3A6" wp14:editId="293AFF73">
          <wp:simplePos x="0" y="0"/>
          <wp:positionH relativeFrom="column">
            <wp:posOffset>12700</wp:posOffset>
          </wp:positionH>
          <wp:positionV relativeFrom="page">
            <wp:posOffset>698500</wp:posOffset>
          </wp:positionV>
          <wp:extent cx="2200910" cy="597535"/>
          <wp:effectExtent l="0" t="0" r="889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597535"/>
                  </a:xfrm>
                  <a:prstGeom prst="rect">
                    <a:avLst/>
                  </a:prstGeom>
                  <a:noFill/>
                </pic:spPr>
              </pic:pic>
            </a:graphicData>
          </a:graphic>
        </wp:anchor>
      </w:drawing>
    </w:r>
    <w:r w:rsidR="1E60542B" w:rsidRPr="1E60542B">
      <w:rPr>
        <w:b/>
        <w:bCs/>
        <w:sz w:val="44"/>
        <w:szCs w:val="44"/>
      </w:rPr>
      <w:t xml:space="preserve">Delegated Decision Report </w:t>
    </w:r>
    <w:r w:rsidR="1E60542B" w:rsidRPr="1E60542B">
      <w:rPr>
        <w:b/>
        <w:bCs/>
        <w:sz w:val="28"/>
        <w:szCs w:val="28"/>
      </w:rPr>
      <w:t xml:space="preserve">    </w:t>
    </w:r>
  </w:p>
  <w:p w14:paraId="7B317781" w14:textId="0044825E" w:rsidR="002803AC" w:rsidRPr="00381512" w:rsidRDefault="1E60542B" w:rsidP="1E60542B">
    <w:pPr>
      <w:ind w:left="2835"/>
      <w:rPr>
        <w:b/>
        <w:bCs/>
        <w:sz w:val="28"/>
        <w:szCs w:val="28"/>
      </w:rPr>
    </w:pPr>
    <w:r w:rsidRPr="1E60542B">
      <w:rPr>
        <w:b/>
        <w:bCs/>
        <w:sz w:val="28"/>
        <w:szCs w:val="28"/>
      </w:rPr>
      <w:t xml:space="preserve"> </w:t>
    </w:r>
    <w:r w:rsidR="003060FE">
      <w:rPr>
        <w:b/>
        <w:bCs/>
        <w:sz w:val="28"/>
        <w:szCs w:val="28"/>
      </w:rPr>
      <w:tab/>
    </w:r>
    <w:r w:rsidR="00381512" w:rsidRPr="00381512">
      <w:rPr>
        <w:b/>
        <w:bCs/>
        <w:sz w:val="28"/>
        <w:szCs w:val="28"/>
      </w:rPr>
      <w:t>1</w:t>
    </w:r>
    <w:r w:rsidR="00447F98" w:rsidRPr="00447F98">
      <w:rPr>
        <w:b/>
        <w:bCs/>
        <w:sz w:val="28"/>
        <w:szCs w:val="28"/>
        <w:vertAlign w:val="superscript"/>
      </w:rPr>
      <w:t>st</w:t>
    </w:r>
    <w:r w:rsidR="00447F98">
      <w:rPr>
        <w:b/>
        <w:bCs/>
        <w:sz w:val="28"/>
        <w:szCs w:val="28"/>
      </w:rPr>
      <w:t xml:space="preserve"> August</w:t>
    </w:r>
    <w:r w:rsidRPr="00381512">
      <w:rPr>
        <w:b/>
        <w:bCs/>
        <w:sz w:val="28"/>
        <w:szCs w:val="28"/>
      </w:rPr>
      <w:t xml:space="preserve"> 2024</w:t>
    </w:r>
  </w:p>
  <w:p w14:paraId="33C29B9B" w14:textId="77777777" w:rsidR="002803AC" w:rsidRDefault="002803AC" w:rsidP="002803AC">
    <w:pPr>
      <w:ind w:left="2835"/>
      <w:rPr>
        <w:b/>
      </w:rPr>
    </w:pPr>
  </w:p>
  <w:p w14:paraId="468E5CFA" w14:textId="704D946B" w:rsidR="00807736" w:rsidRDefault="00807736" w:rsidP="002803AC">
    <w:pPr>
      <w:pStyle w:val="NoSpacing"/>
      <w:rPr>
        <w:color w:val="00B05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760"/>
    </w:tblGrid>
    <w:tr w:rsidR="00DF70CD" w:rsidRPr="00AB4CE2" w14:paraId="6AF999ED" w14:textId="77777777">
      <w:tc>
        <w:tcPr>
          <w:tcW w:w="1696" w:type="dxa"/>
        </w:tcPr>
        <w:p w14:paraId="1B856A17" w14:textId="77777777" w:rsidR="00E63AEE" w:rsidRPr="00A049C5" w:rsidRDefault="00E63AEE" w:rsidP="00DF70CD">
          <w:pPr>
            <w:rPr>
              <w:b/>
              <w:bCs/>
            </w:rPr>
          </w:pPr>
        </w:p>
        <w:p w14:paraId="6C6AC3CE" w14:textId="6FFB6CAF" w:rsidR="00DF70CD" w:rsidRPr="00A049C5" w:rsidRDefault="00DF70CD" w:rsidP="00DF70CD">
          <w:r w:rsidRPr="00A049C5">
            <w:rPr>
              <w:b/>
              <w:bCs/>
            </w:rPr>
            <w:t>Title:</w:t>
          </w:r>
          <w:r w:rsidRPr="00A049C5">
            <w:rPr>
              <w:b/>
              <w:bCs/>
            </w:rPr>
            <w:tab/>
          </w:r>
        </w:p>
      </w:tc>
      <w:tc>
        <w:tcPr>
          <w:tcW w:w="8760" w:type="dxa"/>
        </w:tcPr>
        <w:p w14:paraId="09254A0D" w14:textId="57103EE4" w:rsidR="00E63AEE" w:rsidRPr="00A049C5" w:rsidRDefault="00E63AEE" w:rsidP="00DF70CD">
          <w:pPr>
            <w:rPr>
              <w:rFonts w:cs="Arial"/>
            </w:rPr>
          </w:pPr>
        </w:p>
        <w:p w14:paraId="56E6AFF8" w14:textId="77C629F4" w:rsidR="00681D19" w:rsidRPr="00A049C5" w:rsidRDefault="00762017" w:rsidP="00DF70CD">
          <w:pPr>
            <w:rPr>
              <w:rFonts w:cs="Arial"/>
            </w:rPr>
          </w:pPr>
          <w:proofErr w:type="gramStart"/>
          <w:r w:rsidRPr="00A049C5">
            <w:rPr>
              <w:rStyle w:val="normaltextrun"/>
              <w:rFonts w:cs="Arial"/>
              <w:color w:val="000000"/>
            </w:rPr>
            <w:t>North East</w:t>
          </w:r>
          <w:proofErr w:type="gramEnd"/>
          <w:r w:rsidRPr="00A049C5">
            <w:rPr>
              <w:rStyle w:val="normaltextrun"/>
              <w:rFonts w:cs="Arial"/>
              <w:color w:val="000000"/>
              <w:shd w:val="clear" w:color="auto" w:fill="FFFFFF"/>
            </w:rPr>
            <w:t xml:space="preserve"> CA Capital Regeneration Fund Trailblazer - </w:t>
          </w:r>
          <w:r w:rsidR="00681D19" w:rsidRPr="00A049C5">
            <w:rPr>
              <w:rFonts w:cs="Arial"/>
            </w:rPr>
            <w:t>Forth Yards</w:t>
          </w:r>
          <w:r w:rsidR="001B74FC" w:rsidRPr="00A049C5">
            <w:rPr>
              <w:rFonts w:cs="Arial"/>
            </w:rPr>
            <w:t xml:space="preserve"> Enabling </w:t>
          </w:r>
          <w:r w:rsidR="006E4202" w:rsidRPr="00A049C5">
            <w:rPr>
              <w:rFonts w:cs="Arial"/>
            </w:rPr>
            <w:t>W</w:t>
          </w:r>
          <w:r w:rsidR="001B74FC" w:rsidRPr="00A049C5">
            <w:rPr>
              <w:rFonts w:cs="Arial"/>
            </w:rPr>
            <w:t>orks</w:t>
          </w:r>
        </w:p>
      </w:tc>
    </w:tr>
    <w:tr w:rsidR="00DF70CD" w:rsidRPr="00AB4CE2" w14:paraId="09E72E20" w14:textId="77777777">
      <w:tc>
        <w:tcPr>
          <w:tcW w:w="1696" w:type="dxa"/>
        </w:tcPr>
        <w:p w14:paraId="04931B54" w14:textId="77777777" w:rsidR="00DF70CD" w:rsidRPr="00A049C5" w:rsidRDefault="00DF70CD" w:rsidP="00DF70CD">
          <w:pPr>
            <w:pStyle w:val="NoSpacing"/>
            <w:rPr>
              <w:b/>
              <w:bCs/>
            </w:rPr>
          </w:pPr>
          <w:r w:rsidRPr="00A049C5">
            <w:rPr>
              <w:b/>
              <w:bCs/>
            </w:rPr>
            <w:t>Report of:</w:t>
          </w:r>
          <w:r w:rsidRPr="00A049C5">
            <w:rPr>
              <w:b/>
              <w:bCs/>
            </w:rPr>
            <w:tab/>
          </w:r>
        </w:p>
      </w:tc>
      <w:tc>
        <w:tcPr>
          <w:tcW w:w="8760" w:type="dxa"/>
        </w:tcPr>
        <w:p w14:paraId="1A8C0D4E" w14:textId="64C994F3" w:rsidR="00DF70CD" w:rsidRPr="00A049C5" w:rsidRDefault="00681D19" w:rsidP="00DF70CD">
          <w:pPr>
            <w:pStyle w:val="NoSpacing"/>
          </w:pPr>
          <w:r w:rsidRPr="00A049C5">
            <w:rPr>
              <w:rFonts w:cs="Arial"/>
            </w:rPr>
            <w:t>Ian Freshwater, Senior Regeneration &amp; Economic Development Officer</w:t>
          </w:r>
        </w:p>
      </w:tc>
    </w:tr>
    <w:tr w:rsidR="00DF70CD" w:rsidRPr="00AB4CE2" w14:paraId="32973C3D" w14:textId="77777777">
      <w:tc>
        <w:tcPr>
          <w:tcW w:w="1696" w:type="dxa"/>
        </w:tcPr>
        <w:p w14:paraId="2FBCDAC0" w14:textId="77777777" w:rsidR="00DF70CD" w:rsidRPr="00A049C5" w:rsidRDefault="00DF70CD" w:rsidP="00DF70CD">
          <w:pPr>
            <w:pStyle w:val="NoSpacing"/>
          </w:pPr>
          <w:r w:rsidRPr="00A049C5">
            <w:rPr>
              <w:b/>
              <w:bCs/>
            </w:rPr>
            <w:t>Portfolio:</w:t>
          </w:r>
        </w:p>
      </w:tc>
      <w:tc>
        <w:tcPr>
          <w:tcW w:w="8760" w:type="dxa"/>
        </w:tcPr>
        <w:p w14:paraId="60FE8EC1" w14:textId="531B6D07" w:rsidR="006808FE" w:rsidRPr="00A049C5" w:rsidRDefault="006808FE" w:rsidP="006808FE">
          <w:pPr>
            <w:pStyle w:val="NoSpacing"/>
            <w:rPr>
              <w:rFonts w:cs="Arial"/>
            </w:rPr>
          </w:pPr>
          <w:r w:rsidRPr="00A049C5">
            <w:rPr>
              <w:rFonts w:cs="Arial"/>
            </w:rPr>
            <w:t>Housing and Land</w:t>
          </w:r>
        </w:p>
        <w:p w14:paraId="7B20C0F4" w14:textId="3F1C99BB" w:rsidR="001C4B08" w:rsidRPr="00A049C5" w:rsidRDefault="006808FE" w:rsidP="00C43D71">
          <w:pPr>
            <w:pStyle w:val="NoSpacing"/>
            <w:rPr>
              <w:rFonts w:cs="Arial"/>
            </w:rPr>
          </w:pPr>
          <w:r w:rsidRPr="00A049C5">
            <w:rPr>
              <w:rFonts w:cs="Arial"/>
            </w:rPr>
            <w:tab/>
          </w:r>
        </w:p>
      </w:tc>
    </w:tr>
  </w:tbl>
  <w:p w14:paraId="39C931DA" w14:textId="75FB5FF1" w:rsidR="006A4419" w:rsidRPr="00C07927" w:rsidRDefault="006A4419" w:rsidP="00A049C5">
    <w:pPr>
      <w:pStyle w:val="NoSpacing"/>
      <w:pBdr>
        <w:bottom w:val="single" w:sz="4" w:space="1" w:color="auto"/>
      </w:pBdr>
      <w:rPr>
        <w:color w:val="00B05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2DAA"/>
    <w:multiLevelType w:val="multilevel"/>
    <w:tmpl w:val="3C063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A41DA"/>
    <w:multiLevelType w:val="multilevel"/>
    <w:tmpl w:val="E26E1CB8"/>
    <w:lvl w:ilvl="0">
      <w:start w:val="2"/>
      <w:numFmt w:val="decimal"/>
      <w:lvlText w:val="%1"/>
      <w:lvlJc w:val="left"/>
      <w:pPr>
        <w:ind w:left="360" w:hanging="360"/>
      </w:pPr>
      <w:rPr>
        <w:rFonts w:eastAsia="Times New Roman" w:hint="default"/>
        <w:sz w:val="24"/>
      </w:rPr>
    </w:lvl>
    <w:lvl w:ilvl="1">
      <w:start w:val="2"/>
      <w:numFmt w:val="decimal"/>
      <w:lvlText w:val="%1.%2"/>
      <w:lvlJc w:val="left"/>
      <w:pPr>
        <w:ind w:left="360" w:hanging="360"/>
      </w:pPr>
      <w:rPr>
        <w:rFonts w:eastAsia="Times New Roman" w:hint="default"/>
        <w:sz w:val="22"/>
        <w:szCs w:val="22"/>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2" w15:restartNumberingAfterBreak="0">
    <w:nsid w:val="114119F1"/>
    <w:multiLevelType w:val="hybridMultilevel"/>
    <w:tmpl w:val="D820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51099"/>
    <w:multiLevelType w:val="hybridMultilevel"/>
    <w:tmpl w:val="A246F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CD7E88"/>
    <w:multiLevelType w:val="multilevel"/>
    <w:tmpl w:val="7DC698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B6553"/>
    <w:multiLevelType w:val="multilevel"/>
    <w:tmpl w:val="57CA391A"/>
    <w:lvl w:ilvl="0">
      <w:start w:val="1"/>
      <w:numFmt w:val="upperLetter"/>
      <w:lvlText w:val="%1."/>
      <w:lvlJc w:val="left"/>
      <w:pPr>
        <w:ind w:left="0" w:firstLine="0"/>
      </w:pPr>
      <w:rPr>
        <w:rFonts w:hint="default"/>
        <w:b/>
        <w:bCs/>
        <w:color w:val="auto"/>
      </w:rPr>
    </w:lvl>
    <w:lvl w:ilvl="1">
      <w:start w:val="1"/>
      <w:numFmt w:val="decimal"/>
      <w:isLgl/>
      <w:lvlText w:val="%1.%2"/>
      <w:lvlJc w:val="left"/>
      <w:pPr>
        <w:ind w:left="0" w:firstLine="0"/>
      </w:pPr>
      <w:rPr>
        <w:rFonts w:hint="default"/>
        <w:b w:val="0"/>
        <w:bCs w: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15:restartNumberingAfterBreak="0">
    <w:nsid w:val="1F146DAD"/>
    <w:multiLevelType w:val="multilevel"/>
    <w:tmpl w:val="5F246EEA"/>
    <w:lvl w:ilvl="0">
      <w:start w:val="1"/>
      <w:numFmt w:val="decimal"/>
      <w:lvlText w:val="%1."/>
      <w:lvlJc w:val="left"/>
      <w:pPr>
        <w:ind w:left="0" w:firstLine="0"/>
      </w:pPr>
      <w:rPr>
        <w:rFonts w:hint="default"/>
        <w:b/>
        <w:bCs/>
        <w:color w:val="auto"/>
      </w:rPr>
    </w:lvl>
    <w:lvl w:ilvl="1">
      <w:start w:val="1"/>
      <w:numFmt w:val="decimal"/>
      <w:isLgl/>
      <w:lvlText w:val="%1.%2"/>
      <w:lvlJc w:val="left"/>
      <w:pPr>
        <w:ind w:left="0" w:firstLine="0"/>
      </w:pPr>
      <w:rPr>
        <w:rFonts w:hint="default"/>
        <w:b/>
        <w:bCs/>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F5A6632"/>
    <w:multiLevelType w:val="multilevel"/>
    <w:tmpl w:val="0DA25B90"/>
    <w:lvl w:ilvl="0">
      <w:start w:val="1"/>
      <w:numFmt w:val="decimal"/>
      <w:pStyle w:val="ListHeading1"/>
      <w:lvlText w:val="%1."/>
      <w:lvlJc w:val="left"/>
      <w:pPr>
        <w:tabs>
          <w:tab w:val="num" w:pos="720"/>
        </w:tabs>
        <w:ind w:left="720" w:hanging="720"/>
      </w:pPr>
      <w:rPr>
        <w:rFonts w:hint="default"/>
      </w:rPr>
    </w:lvl>
    <w:lvl w:ilvl="1">
      <w:start w:val="1"/>
      <w:numFmt w:val="decimal"/>
      <w:pStyle w:val="Level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7"/>
      <w:lvlJc w:val="left"/>
      <w:pPr>
        <w:tabs>
          <w:tab w:val="num" w:pos="720"/>
        </w:tabs>
        <w:ind w:left="720" w:hanging="720"/>
      </w:pPr>
      <w:rPr>
        <w:rFonts w:hint="default"/>
      </w:rPr>
    </w:lvl>
    <w:lvl w:ilvl="7">
      <w:start w:val="1"/>
      <w:numFmt w:val="none"/>
      <w:lvlText w:val="%8"/>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8" w15:restartNumberingAfterBreak="0">
    <w:nsid w:val="24D533B1"/>
    <w:multiLevelType w:val="multilevel"/>
    <w:tmpl w:val="3DB6FEE0"/>
    <w:lvl w:ilvl="0">
      <w:start w:val="1"/>
      <w:numFmt w:val="decimal"/>
      <w:lvlText w:val="%1."/>
      <w:lvlJc w:val="left"/>
      <w:pPr>
        <w:ind w:left="0" w:firstLine="0"/>
      </w:pPr>
      <w:rPr>
        <w:rFonts w:hint="default"/>
        <w:b/>
        <w:bCs/>
        <w:color w:val="auto"/>
      </w:rPr>
    </w:lvl>
    <w:lvl w:ilvl="1">
      <w:start w:val="1"/>
      <w:numFmt w:val="decimal"/>
      <w:isLgl/>
      <w:lvlText w:val="%1.%2"/>
      <w:lvlJc w:val="left"/>
      <w:pPr>
        <w:ind w:left="0" w:firstLine="0"/>
      </w:pPr>
      <w:rPr>
        <w:rFonts w:hint="default"/>
        <w:b w:val="0"/>
        <w:bCs w: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9" w15:restartNumberingAfterBreak="0">
    <w:nsid w:val="24E813AD"/>
    <w:multiLevelType w:val="hybridMultilevel"/>
    <w:tmpl w:val="EF86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C46B4"/>
    <w:multiLevelType w:val="multilevel"/>
    <w:tmpl w:val="E26E1CB8"/>
    <w:lvl w:ilvl="0">
      <w:start w:val="2"/>
      <w:numFmt w:val="decimal"/>
      <w:lvlText w:val="%1"/>
      <w:lvlJc w:val="left"/>
      <w:pPr>
        <w:ind w:left="360" w:hanging="360"/>
      </w:pPr>
      <w:rPr>
        <w:rFonts w:eastAsia="Times New Roman" w:hint="default"/>
        <w:sz w:val="24"/>
      </w:rPr>
    </w:lvl>
    <w:lvl w:ilvl="1">
      <w:start w:val="2"/>
      <w:numFmt w:val="decimal"/>
      <w:lvlText w:val="%1.%2"/>
      <w:lvlJc w:val="left"/>
      <w:pPr>
        <w:ind w:left="360" w:hanging="360"/>
      </w:pPr>
      <w:rPr>
        <w:rFonts w:eastAsia="Times New Roman" w:hint="default"/>
        <w:sz w:val="22"/>
        <w:szCs w:val="22"/>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11" w15:restartNumberingAfterBreak="0">
    <w:nsid w:val="2D485F29"/>
    <w:multiLevelType w:val="hybridMultilevel"/>
    <w:tmpl w:val="2C14875A"/>
    <w:lvl w:ilvl="0" w:tplc="84D2DDEC">
      <w:start w:val="202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4671"/>
    <w:multiLevelType w:val="hybridMultilevel"/>
    <w:tmpl w:val="3B36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E27E1"/>
    <w:multiLevelType w:val="multilevel"/>
    <w:tmpl w:val="4F1081F6"/>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14" w15:restartNumberingAfterBreak="0">
    <w:nsid w:val="35B47C99"/>
    <w:multiLevelType w:val="hybridMultilevel"/>
    <w:tmpl w:val="3272BDDA"/>
    <w:lvl w:ilvl="0" w:tplc="6E8443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6A4E8D"/>
    <w:multiLevelType w:val="multilevel"/>
    <w:tmpl w:val="0770BAF2"/>
    <w:lvl w:ilvl="0">
      <w:start w:val="2"/>
      <w:numFmt w:val="decimal"/>
      <w:lvlText w:val="%1"/>
      <w:lvlJc w:val="left"/>
      <w:pPr>
        <w:ind w:left="360" w:hanging="360"/>
      </w:pPr>
      <w:rPr>
        <w:rFonts w:hint="default"/>
        <w:color w:val="000000" w:themeColor="text1"/>
        <w:u w:val="single"/>
      </w:rPr>
    </w:lvl>
    <w:lvl w:ilvl="1">
      <w:start w:val="2"/>
      <w:numFmt w:val="decimal"/>
      <w:lvlText w:val="%1.%2"/>
      <w:lvlJc w:val="left"/>
      <w:pPr>
        <w:ind w:left="360" w:hanging="360"/>
      </w:pPr>
      <w:rPr>
        <w:rFonts w:hint="default"/>
        <w:color w:val="000000" w:themeColor="text1"/>
        <w:u w:val="none"/>
      </w:rPr>
    </w:lvl>
    <w:lvl w:ilvl="2">
      <w:start w:val="1"/>
      <w:numFmt w:val="decimal"/>
      <w:lvlText w:val="%1.%2.%3"/>
      <w:lvlJc w:val="left"/>
      <w:pPr>
        <w:ind w:left="720" w:hanging="720"/>
      </w:pPr>
      <w:rPr>
        <w:rFonts w:hint="default"/>
        <w:color w:val="000000" w:themeColor="text1"/>
        <w:u w:val="single"/>
      </w:rPr>
    </w:lvl>
    <w:lvl w:ilvl="3">
      <w:start w:val="1"/>
      <w:numFmt w:val="decimal"/>
      <w:lvlText w:val="%1.%2.%3.%4"/>
      <w:lvlJc w:val="left"/>
      <w:pPr>
        <w:ind w:left="720" w:hanging="720"/>
      </w:pPr>
      <w:rPr>
        <w:rFonts w:hint="default"/>
        <w:color w:val="000000" w:themeColor="text1"/>
        <w:u w:val="single"/>
      </w:rPr>
    </w:lvl>
    <w:lvl w:ilvl="4">
      <w:start w:val="1"/>
      <w:numFmt w:val="decimal"/>
      <w:lvlText w:val="%1.%2.%3.%4.%5"/>
      <w:lvlJc w:val="left"/>
      <w:pPr>
        <w:ind w:left="1080" w:hanging="1080"/>
      </w:pPr>
      <w:rPr>
        <w:rFonts w:hint="default"/>
        <w:color w:val="000000" w:themeColor="text1"/>
        <w:u w:val="single"/>
      </w:rPr>
    </w:lvl>
    <w:lvl w:ilvl="5">
      <w:start w:val="1"/>
      <w:numFmt w:val="decimal"/>
      <w:lvlText w:val="%1.%2.%3.%4.%5.%6"/>
      <w:lvlJc w:val="left"/>
      <w:pPr>
        <w:ind w:left="1080" w:hanging="1080"/>
      </w:pPr>
      <w:rPr>
        <w:rFonts w:hint="default"/>
        <w:color w:val="000000" w:themeColor="text1"/>
        <w:u w:val="single"/>
      </w:rPr>
    </w:lvl>
    <w:lvl w:ilvl="6">
      <w:start w:val="1"/>
      <w:numFmt w:val="decimal"/>
      <w:lvlText w:val="%1.%2.%3.%4.%5.%6.%7"/>
      <w:lvlJc w:val="left"/>
      <w:pPr>
        <w:ind w:left="1440" w:hanging="1440"/>
      </w:pPr>
      <w:rPr>
        <w:rFonts w:hint="default"/>
        <w:color w:val="000000" w:themeColor="text1"/>
        <w:u w:val="single"/>
      </w:rPr>
    </w:lvl>
    <w:lvl w:ilvl="7">
      <w:start w:val="1"/>
      <w:numFmt w:val="decimal"/>
      <w:lvlText w:val="%1.%2.%3.%4.%5.%6.%7.%8"/>
      <w:lvlJc w:val="left"/>
      <w:pPr>
        <w:ind w:left="1440" w:hanging="1440"/>
      </w:pPr>
      <w:rPr>
        <w:rFonts w:hint="default"/>
        <w:color w:val="000000" w:themeColor="text1"/>
        <w:u w:val="single"/>
      </w:rPr>
    </w:lvl>
    <w:lvl w:ilvl="8">
      <w:start w:val="1"/>
      <w:numFmt w:val="decimal"/>
      <w:lvlText w:val="%1.%2.%3.%4.%5.%6.%7.%8.%9"/>
      <w:lvlJc w:val="left"/>
      <w:pPr>
        <w:ind w:left="1800" w:hanging="1800"/>
      </w:pPr>
      <w:rPr>
        <w:rFonts w:hint="default"/>
        <w:color w:val="000000" w:themeColor="text1"/>
        <w:u w:val="single"/>
      </w:rPr>
    </w:lvl>
  </w:abstractNum>
  <w:abstractNum w:abstractNumId="16" w15:restartNumberingAfterBreak="0">
    <w:nsid w:val="384D330A"/>
    <w:multiLevelType w:val="hybridMultilevel"/>
    <w:tmpl w:val="152CA9F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06427F"/>
    <w:multiLevelType w:val="hybridMultilevel"/>
    <w:tmpl w:val="D61A4C92"/>
    <w:lvl w:ilvl="0" w:tplc="02BC266E">
      <w:start w:val="2"/>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0C4C10"/>
    <w:multiLevelType w:val="multilevel"/>
    <w:tmpl w:val="1184405E"/>
    <w:lvl w:ilvl="0">
      <w:start w:val="1"/>
      <w:numFmt w:val="upperLetter"/>
      <w:lvlText w:val="%1."/>
      <w:lvlJc w:val="left"/>
      <w:pPr>
        <w:ind w:left="0" w:firstLine="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C6C0B1A"/>
    <w:multiLevelType w:val="hybridMultilevel"/>
    <w:tmpl w:val="3CEA5180"/>
    <w:lvl w:ilvl="0" w:tplc="B3042A6E">
      <w:start w:val="4"/>
      <w:numFmt w:val="bullet"/>
      <w:lvlText w:val=""/>
      <w:lvlJc w:val="left"/>
      <w:pPr>
        <w:ind w:left="720" w:hanging="360"/>
      </w:pPr>
      <w:rPr>
        <w:rFonts w:ascii="Symbol" w:eastAsia="MS Mincho"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F67AD"/>
    <w:multiLevelType w:val="hybridMultilevel"/>
    <w:tmpl w:val="65C6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136C8"/>
    <w:multiLevelType w:val="multilevel"/>
    <w:tmpl w:val="FF54C834"/>
    <w:lvl w:ilvl="0">
      <w:start w:val="2"/>
      <w:numFmt w:val="upperLetter"/>
      <w:lvlText w:val="%1."/>
      <w:lvlJc w:val="left"/>
      <w:pPr>
        <w:ind w:left="0" w:firstLine="0"/>
      </w:pPr>
      <w:rPr>
        <w:rFonts w:hint="default"/>
        <w:b/>
        <w:bCs/>
        <w:color w:val="auto"/>
      </w:rPr>
    </w:lvl>
    <w:lvl w:ilvl="1">
      <w:start w:val="1"/>
      <w:numFmt w:val="decimal"/>
      <w:isLgl/>
      <w:lvlText w:val="%1.%2"/>
      <w:lvlJc w:val="left"/>
      <w:pPr>
        <w:ind w:left="0" w:firstLine="0"/>
      </w:pPr>
      <w:rPr>
        <w:rFonts w:hint="default"/>
        <w:b w:val="0"/>
        <w:bCs w: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2" w15:restartNumberingAfterBreak="0">
    <w:nsid w:val="57F8027C"/>
    <w:multiLevelType w:val="hybridMultilevel"/>
    <w:tmpl w:val="1E66839A"/>
    <w:lvl w:ilvl="0" w:tplc="FD6808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D1AB6"/>
    <w:multiLevelType w:val="hybridMultilevel"/>
    <w:tmpl w:val="BDCE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C0CDA"/>
    <w:multiLevelType w:val="hybridMultilevel"/>
    <w:tmpl w:val="D0E4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978B9"/>
    <w:multiLevelType w:val="hybridMultilevel"/>
    <w:tmpl w:val="3B603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B132C5"/>
    <w:multiLevelType w:val="hybridMultilevel"/>
    <w:tmpl w:val="264A6808"/>
    <w:lvl w:ilvl="0" w:tplc="7B501F92">
      <w:start w:val="1"/>
      <w:numFmt w:val="bullet"/>
      <w:lvlText w:val=""/>
      <w:lvlJc w:val="left"/>
      <w:pPr>
        <w:ind w:left="720" w:hanging="360"/>
      </w:pPr>
      <w:rPr>
        <w:rFonts w:ascii="Symbol" w:hAnsi="Symbol" w:hint="default"/>
      </w:rPr>
    </w:lvl>
    <w:lvl w:ilvl="1" w:tplc="A9EC3B92">
      <w:start w:val="1"/>
      <w:numFmt w:val="bullet"/>
      <w:lvlText w:val="o"/>
      <w:lvlJc w:val="left"/>
      <w:pPr>
        <w:ind w:left="1440" w:hanging="360"/>
      </w:pPr>
      <w:rPr>
        <w:rFonts w:ascii="Courier New" w:hAnsi="Courier New" w:hint="default"/>
      </w:rPr>
    </w:lvl>
    <w:lvl w:ilvl="2" w:tplc="BF7A2DD4">
      <w:start w:val="1"/>
      <w:numFmt w:val="bullet"/>
      <w:lvlText w:val=""/>
      <w:lvlJc w:val="left"/>
      <w:pPr>
        <w:ind w:left="2160" w:hanging="360"/>
      </w:pPr>
      <w:rPr>
        <w:rFonts w:ascii="Wingdings" w:hAnsi="Wingdings" w:hint="default"/>
      </w:rPr>
    </w:lvl>
    <w:lvl w:ilvl="3" w:tplc="A5C4F2FE">
      <w:start w:val="1"/>
      <w:numFmt w:val="bullet"/>
      <w:lvlText w:val=""/>
      <w:lvlJc w:val="left"/>
      <w:pPr>
        <w:ind w:left="2880" w:hanging="360"/>
      </w:pPr>
      <w:rPr>
        <w:rFonts w:ascii="Symbol" w:hAnsi="Symbol" w:hint="default"/>
      </w:rPr>
    </w:lvl>
    <w:lvl w:ilvl="4" w:tplc="B9C0854A">
      <w:start w:val="1"/>
      <w:numFmt w:val="bullet"/>
      <w:lvlText w:val="o"/>
      <w:lvlJc w:val="left"/>
      <w:pPr>
        <w:ind w:left="3600" w:hanging="360"/>
      </w:pPr>
      <w:rPr>
        <w:rFonts w:ascii="Courier New" w:hAnsi="Courier New" w:hint="default"/>
      </w:rPr>
    </w:lvl>
    <w:lvl w:ilvl="5" w:tplc="C9183A48">
      <w:start w:val="1"/>
      <w:numFmt w:val="bullet"/>
      <w:lvlText w:val=""/>
      <w:lvlJc w:val="left"/>
      <w:pPr>
        <w:ind w:left="4320" w:hanging="360"/>
      </w:pPr>
      <w:rPr>
        <w:rFonts w:ascii="Wingdings" w:hAnsi="Wingdings" w:hint="default"/>
      </w:rPr>
    </w:lvl>
    <w:lvl w:ilvl="6" w:tplc="69C41792">
      <w:start w:val="1"/>
      <w:numFmt w:val="bullet"/>
      <w:lvlText w:val=""/>
      <w:lvlJc w:val="left"/>
      <w:pPr>
        <w:ind w:left="5040" w:hanging="360"/>
      </w:pPr>
      <w:rPr>
        <w:rFonts w:ascii="Symbol" w:hAnsi="Symbol" w:hint="default"/>
      </w:rPr>
    </w:lvl>
    <w:lvl w:ilvl="7" w:tplc="8690C2EC">
      <w:start w:val="1"/>
      <w:numFmt w:val="bullet"/>
      <w:lvlText w:val="o"/>
      <w:lvlJc w:val="left"/>
      <w:pPr>
        <w:ind w:left="5760" w:hanging="360"/>
      </w:pPr>
      <w:rPr>
        <w:rFonts w:ascii="Courier New" w:hAnsi="Courier New" w:hint="default"/>
      </w:rPr>
    </w:lvl>
    <w:lvl w:ilvl="8" w:tplc="8582309E">
      <w:start w:val="1"/>
      <w:numFmt w:val="bullet"/>
      <w:lvlText w:val=""/>
      <w:lvlJc w:val="left"/>
      <w:pPr>
        <w:ind w:left="6480" w:hanging="360"/>
      </w:pPr>
      <w:rPr>
        <w:rFonts w:ascii="Wingdings" w:hAnsi="Wingdings" w:hint="default"/>
      </w:rPr>
    </w:lvl>
  </w:abstractNum>
  <w:abstractNum w:abstractNumId="27" w15:restartNumberingAfterBreak="0">
    <w:nsid w:val="6989040C"/>
    <w:multiLevelType w:val="hybridMultilevel"/>
    <w:tmpl w:val="CCC8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62D3C"/>
    <w:multiLevelType w:val="hybridMultilevel"/>
    <w:tmpl w:val="27647CF2"/>
    <w:lvl w:ilvl="0" w:tplc="08090001">
      <w:start w:val="1"/>
      <w:numFmt w:val="bullet"/>
      <w:lvlText w:val=""/>
      <w:lvlJc w:val="left"/>
      <w:pPr>
        <w:ind w:left="720" w:hanging="360"/>
      </w:pPr>
      <w:rPr>
        <w:rFonts w:ascii="Symbol" w:hAnsi="Symbol" w:hint="default"/>
      </w:rPr>
    </w:lvl>
    <w:lvl w:ilvl="1" w:tplc="02A004CE">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ED712A"/>
    <w:multiLevelType w:val="hybridMultilevel"/>
    <w:tmpl w:val="998E7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983544"/>
    <w:multiLevelType w:val="hybridMultilevel"/>
    <w:tmpl w:val="448E5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4925C8"/>
    <w:multiLevelType w:val="hybridMultilevel"/>
    <w:tmpl w:val="2C32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D0054"/>
    <w:multiLevelType w:val="multilevel"/>
    <w:tmpl w:val="C9C0839A"/>
    <w:lvl w:ilvl="0">
      <w:start w:val="1"/>
      <w:numFmt w:val="decimal"/>
      <w:lvlText w:val="%1."/>
      <w:lvlJc w:val="left"/>
      <w:pPr>
        <w:ind w:left="720" w:hanging="360"/>
      </w:pPr>
      <w:rPr>
        <w:rFonts w:hint="default"/>
        <w:color w:val="auto"/>
      </w:rPr>
    </w:lvl>
    <w:lvl w:ilvl="1">
      <w:start w:val="1"/>
      <w:numFmt w:val="decimal"/>
      <w:isLgl/>
      <w:lvlText w:val="%1.%2"/>
      <w:lvlJc w:val="left"/>
      <w:pPr>
        <w:ind w:left="996" w:hanging="57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30164E"/>
    <w:multiLevelType w:val="multilevel"/>
    <w:tmpl w:val="F578B6C8"/>
    <w:lvl w:ilvl="0">
      <w:start w:val="2"/>
      <w:numFmt w:val="upperLetter"/>
      <w:lvlText w:val="%1."/>
      <w:lvlJc w:val="left"/>
      <w:pPr>
        <w:ind w:left="0" w:firstLine="0"/>
      </w:pPr>
      <w:rPr>
        <w:rFonts w:hint="default"/>
        <w:b/>
        <w:bCs/>
        <w:color w:val="auto"/>
      </w:rPr>
    </w:lvl>
    <w:lvl w:ilvl="1">
      <w:start w:val="1"/>
      <w:numFmt w:val="decimal"/>
      <w:isLgl/>
      <w:lvlText w:val="%1.%2"/>
      <w:lvlJc w:val="left"/>
      <w:pPr>
        <w:ind w:left="0" w:firstLine="0"/>
      </w:pPr>
      <w:rPr>
        <w:rFonts w:hint="default"/>
        <w:b w:val="0"/>
        <w:bCs w: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4" w15:restartNumberingAfterBreak="0">
    <w:nsid w:val="766F5100"/>
    <w:multiLevelType w:val="hybridMultilevel"/>
    <w:tmpl w:val="8E98D19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73E449E"/>
    <w:multiLevelType w:val="hybridMultilevel"/>
    <w:tmpl w:val="5846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726924">
    <w:abstractNumId w:val="18"/>
  </w:num>
  <w:num w:numId="2" w16cid:durableId="414519473">
    <w:abstractNumId w:val="16"/>
  </w:num>
  <w:num w:numId="3" w16cid:durableId="1779763046">
    <w:abstractNumId w:val="6"/>
  </w:num>
  <w:num w:numId="4" w16cid:durableId="1085150510">
    <w:abstractNumId w:val="35"/>
  </w:num>
  <w:num w:numId="5" w16cid:durableId="65685437">
    <w:abstractNumId w:val="23"/>
  </w:num>
  <w:num w:numId="6" w16cid:durableId="2091539603">
    <w:abstractNumId w:val="6"/>
    <w:lvlOverride w:ilvl="0">
      <w:lvl w:ilvl="0">
        <w:start w:val="1"/>
        <w:numFmt w:val="decimal"/>
        <w:lvlText w:val="%1."/>
        <w:lvlJc w:val="left"/>
        <w:pPr>
          <w:ind w:left="0" w:firstLine="360"/>
        </w:pPr>
        <w:rPr>
          <w:rFonts w:hint="default"/>
          <w:color w:val="auto"/>
        </w:rPr>
      </w:lvl>
    </w:lvlOverride>
    <w:lvlOverride w:ilvl="1">
      <w:lvl w:ilvl="1">
        <w:start w:val="1"/>
        <w:numFmt w:val="decimal"/>
        <w:isLgl/>
        <w:lvlText w:val="%1.%2"/>
        <w:lvlJc w:val="left"/>
        <w:pPr>
          <w:ind w:left="1065" w:hanging="705"/>
        </w:pPr>
        <w:rPr>
          <w:rFonts w:hint="default"/>
          <w:b/>
          <w:bCs/>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7" w16cid:durableId="456215347">
    <w:abstractNumId w:val="6"/>
    <w:lvlOverride w:ilvl="0">
      <w:lvl w:ilvl="0">
        <w:start w:val="1"/>
        <w:numFmt w:val="decimal"/>
        <w:lvlText w:val="%1."/>
        <w:lvlJc w:val="left"/>
        <w:pPr>
          <w:tabs>
            <w:tab w:val="num" w:pos="340"/>
          </w:tabs>
          <w:ind w:left="0" w:firstLine="0"/>
        </w:pPr>
        <w:rPr>
          <w:rFonts w:hint="default"/>
          <w:color w:val="auto"/>
        </w:rPr>
      </w:lvl>
    </w:lvlOverride>
    <w:lvlOverride w:ilvl="1">
      <w:lvl w:ilvl="1">
        <w:start w:val="1"/>
        <w:numFmt w:val="decimal"/>
        <w:isLgl/>
        <w:lvlText w:val="%1.%2"/>
        <w:lvlJc w:val="left"/>
        <w:pPr>
          <w:tabs>
            <w:tab w:val="num" w:pos="340"/>
          </w:tabs>
          <w:ind w:left="0" w:firstLine="0"/>
        </w:pPr>
        <w:rPr>
          <w:rFonts w:hint="default"/>
          <w:b/>
          <w:bCs/>
        </w:rPr>
      </w:lvl>
    </w:lvlOverride>
    <w:lvlOverride w:ilvl="2">
      <w:lvl w:ilvl="2">
        <w:start w:val="1"/>
        <w:numFmt w:val="decimal"/>
        <w:isLgl/>
        <w:lvlText w:val="%1.%2.%3"/>
        <w:lvlJc w:val="left"/>
        <w:pPr>
          <w:tabs>
            <w:tab w:val="num" w:pos="340"/>
          </w:tabs>
          <w:ind w:left="0" w:firstLine="0"/>
        </w:pPr>
        <w:rPr>
          <w:rFonts w:hint="default"/>
        </w:rPr>
      </w:lvl>
    </w:lvlOverride>
    <w:lvlOverride w:ilvl="3">
      <w:lvl w:ilvl="3">
        <w:start w:val="1"/>
        <w:numFmt w:val="decimal"/>
        <w:isLgl/>
        <w:lvlText w:val="%1.%2.%3.%4"/>
        <w:lvlJc w:val="left"/>
        <w:pPr>
          <w:tabs>
            <w:tab w:val="num" w:pos="340"/>
          </w:tabs>
          <w:ind w:left="0" w:firstLine="0"/>
        </w:pPr>
        <w:rPr>
          <w:rFonts w:hint="default"/>
        </w:rPr>
      </w:lvl>
    </w:lvlOverride>
    <w:lvlOverride w:ilvl="4">
      <w:lvl w:ilvl="4">
        <w:start w:val="1"/>
        <w:numFmt w:val="decimal"/>
        <w:isLgl/>
        <w:lvlText w:val="%1.%2.%3.%4.%5"/>
        <w:lvlJc w:val="left"/>
        <w:pPr>
          <w:tabs>
            <w:tab w:val="num" w:pos="340"/>
          </w:tabs>
          <w:ind w:left="0" w:firstLine="0"/>
        </w:pPr>
        <w:rPr>
          <w:rFonts w:hint="default"/>
        </w:rPr>
      </w:lvl>
    </w:lvlOverride>
    <w:lvlOverride w:ilvl="5">
      <w:lvl w:ilvl="5">
        <w:start w:val="1"/>
        <w:numFmt w:val="decimal"/>
        <w:isLgl/>
        <w:lvlText w:val="%1.%2.%3.%4.%5.%6"/>
        <w:lvlJc w:val="left"/>
        <w:pPr>
          <w:tabs>
            <w:tab w:val="num" w:pos="340"/>
          </w:tabs>
          <w:ind w:left="0" w:firstLine="0"/>
        </w:pPr>
        <w:rPr>
          <w:rFonts w:hint="default"/>
        </w:rPr>
      </w:lvl>
    </w:lvlOverride>
    <w:lvlOverride w:ilvl="6">
      <w:lvl w:ilvl="6">
        <w:start w:val="1"/>
        <w:numFmt w:val="decimal"/>
        <w:isLgl/>
        <w:lvlText w:val="%1.%2.%3.%4.%5.%6.%7"/>
        <w:lvlJc w:val="left"/>
        <w:pPr>
          <w:tabs>
            <w:tab w:val="num" w:pos="340"/>
          </w:tabs>
          <w:ind w:left="0" w:firstLine="0"/>
        </w:pPr>
        <w:rPr>
          <w:rFonts w:hint="default"/>
        </w:rPr>
      </w:lvl>
    </w:lvlOverride>
    <w:lvlOverride w:ilvl="7">
      <w:lvl w:ilvl="7">
        <w:start w:val="1"/>
        <w:numFmt w:val="decimal"/>
        <w:isLgl/>
        <w:lvlText w:val="%1.%2.%3.%4.%5.%6.%7.%8"/>
        <w:lvlJc w:val="left"/>
        <w:pPr>
          <w:tabs>
            <w:tab w:val="num" w:pos="340"/>
          </w:tabs>
          <w:ind w:left="0" w:firstLine="0"/>
        </w:pPr>
        <w:rPr>
          <w:rFonts w:hint="default"/>
        </w:rPr>
      </w:lvl>
    </w:lvlOverride>
    <w:lvlOverride w:ilvl="8">
      <w:lvl w:ilvl="8">
        <w:start w:val="1"/>
        <w:numFmt w:val="decimal"/>
        <w:isLgl/>
        <w:lvlText w:val="%1.%2.%3.%4.%5.%6.%7.%8.%9"/>
        <w:lvlJc w:val="left"/>
        <w:pPr>
          <w:tabs>
            <w:tab w:val="num" w:pos="340"/>
          </w:tabs>
          <w:ind w:left="0" w:firstLine="0"/>
        </w:pPr>
        <w:rPr>
          <w:rFonts w:hint="default"/>
        </w:rPr>
      </w:lvl>
    </w:lvlOverride>
  </w:num>
  <w:num w:numId="8" w16cid:durableId="703821722">
    <w:abstractNumId w:val="6"/>
    <w:lvlOverride w:ilvl="0">
      <w:lvl w:ilvl="0">
        <w:start w:val="1"/>
        <w:numFmt w:val="decimal"/>
        <w:lvlText w:val="%1."/>
        <w:lvlJc w:val="left"/>
        <w:pPr>
          <w:tabs>
            <w:tab w:val="num" w:pos="340"/>
          </w:tabs>
          <w:ind w:left="624" w:hanging="624"/>
        </w:pPr>
        <w:rPr>
          <w:rFonts w:hint="default"/>
          <w:color w:val="auto"/>
        </w:rPr>
      </w:lvl>
    </w:lvlOverride>
    <w:lvlOverride w:ilvl="1">
      <w:lvl w:ilvl="1">
        <w:start w:val="1"/>
        <w:numFmt w:val="decimal"/>
        <w:isLgl/>
        <w:lvlText w:val="%1.%2"/>
        <w:lvlJc w:val="left"/>
        <w:pPr>
          <w:tabs>
            <w:tab w:val="num" w:pos="340"/>
          </w:tabs>
          <w:ind w:left="0" w:firstLine="0"/>
        </w:pPr>
        <w:rPr>
          <w:rFonts w:hint="default"/>
          <w:b/>
          <w:bCs/>
        </w:rPr>
      </w:lvl>
    </w:lvlOverride>
    <w:lvlOverride w:ilvl="2">
      <w:lvl w:ilvl="2">
        <w:start w:val="1"/>
        <w:numFmt w:val="decimal"/>
        <w:isLgl/>
        <w:lvlText w:val="%1.%2.%3"/>
        <w:lvlJc w:val="left"/>
        <w:pPr>
          <w:tabs>
            <w:tab w:val="num" w:pos="340"/>
          </w:tabs>
          <w:ind w:left="0" w:firstLine="0"/>
        </w:pPr>
        <w:rPr>
          <w:rFonts w:hint="default"/>
        </w:rPr>
      </w:lvl>
    </w:lvlOverride>
    <w:lvlOverride w:ilvl="3">
      <w:lvl w:ilvl="3">
        <w:start w:val="1"/>
        <w:numFmt w:val="decimal"/>
        <w:isLgl/>
        <w:lvlText w:val="%1.%2.%3.%4"/>
        <w:lvlJc w:val="left"/>
        <w:pPr>
          <w:tabs>
            <w:tab w:val="num" w:pos="340"/>
          </w:tabs>
          <w:ind w:left="0" w:firstLine="0"/>
        </w:pPr>
        <w:rPr>
          <w:rFonts w:hint="default"/>
        </w:rPr>
      </w:lvl>
    </w:lvlOverride>
    <w:lvlOverride w:ilvl="4">
      <w:lvl w:ilvl="4">
        <w:start w:val="1"/>
        <w:numFmt w:val="decimal"/>
        <w:isLgl/>
        <w:lvlText w:val="%1.%2.%3.%4.%5"/>
        <w:lvlJc w:val="left"/>
        <w:pPr>
          <w:tabs>
            <w:tab w:val="num" w:pos="340"/>
          </w:tabs>
          <w:ind w:left="0" w:firstLine="0"/>
        </w:pPr>
        <w:rPr>
          <w:rFonts w:hint="default"/>
        </w:rPr>
      </w:lvl>
    </w:lvlOverride>
    <w:lvlOverride w:ilvl="5">
      <w:lvl w:ilvl="5">
        <w:start w:val="1"/>
        <w:numFmt w:val="decimal"/>
        <w:isLgl/>
        <w:lvlText w:val="%1.%2.%3.%4.%5.%6"/>
        <w:lvlJc w:val="left"/>
        <w:pPr>
          <w:tabs>
            <w:tab w:val="num" w:pos="340"/>
          </w:tabs>
          <w:ind w:left="0" w:firstLine="0"/>
        </w:pPr>
        <w:rPr>
          <w:rFonts w:hint="default"/>
        </w:rPr>
      </w:lvl>
    </w:lvlOverride>
    <w:lvlOverride w:ilvl="6">
      <w:lvl w:ilvl="6">
        <w:start w:val="1"/>
        <w:numFmt w:val="decimal"/>
        <w:isLgl/>
        <w:lvlText w:val="%1.%2.%3.%4.%5.%6.%7"/>
        <w:lvlJc w:val="left"/>
        <w:pPr>
          <w:tabs>
            <w:tab w:val="num" w:pos="340"/>
          </w:tabs>
          <w:ind w:left="0" w:firstLine="0"/>
        </w:pPr>
        <w:rPr>
          <w:rFonts w:hint="default"/>
        </w:rPr>
      </w:lvl>
    </w:lvlOverride>
    <w:lvlOverride w:ilvl="7">
      <w:lvl w:ilvl="7">
        <w:start w:val="1"/>
        <w:numFmt w:val="decimal"/>
        <w:isLgl/>
        <w:lvlText w:val="%1.%2.%3.%4.%5.%6.%7.%8"/>
        <w:lvlJc w:val="left"/>
        <w:pPr>
          <w:tabs>
            <w:tab w:val="num" w:pos="340"/>
          </w:tabs>
          <w:ind w:left="0" w:firstLine="0"/>
        </w:pPr>
        <w:rPr>
          <w:rFonts w:hint="default"/>
        </w:rPr>
      </w:lvl>
    </w:lvlOverride>
    <w:lvlOverride w:ilvl="8">
      <w:lvl w:ilvl="8">
        <w:start w:val="1"/>
        <w:numFmt w:val="decimal"/>
        <w:isLgl/>
        <w:lvlText w:val="%1.%2.%3.%4.%5.%6.%7.%8.%9"/>
        <w:lvlJc w:val="left"/>
        <w:pPr>
          <w:tabs>
            <w:tab w:val="num" w:pos="340"/>
          </w:tabs>
          <w:ind w:left="0" w:firstLine="0"/>
        </w:pPr>
        <w:rPr>
          <w:rFonts w:hint="default"/>
        </w:rPr>
      </w:lvl>
    </w:lvlOverride>
  </w:num>
  <w:num w:numId="9" w16cid:durableId="272053460">
    <w:abstractNumId w:val="6"/>
    <w:lvlOverride w:ilvl="0">
      <w:lvl w:ilvl="0">
        <w:start w:val="1"/>
        <w:numFmt w:val="decimal"/>
        <w:lvlText w:val="%1."/>
        <w:lvlJc w:val="left"/>
        <w:pPr>
          <w:ind w:left="0" w:firstLine="624"/>
        </w:pPr>
        <w:rPr>
          <w:rFonts w:hint="default"/>
          <w:color w:val="auto"/>
        </w:rPr>
      </w:lvl>
    </w:lvlOverride>
    <w:lvlOverride w:ilvl="1">
      <w:lvl w:ilvl="1">
        <w:start w:val="1"/>
        <w:numFmt w:val="decimal"/>
        <w:isLgl/>
        <w:lvlText w:val="%1.%2"/>
        <w:lvlJc w:val="left"/>
        <w:pPr>
          <w:ind w:left="1065" w:hanging="705"/>
        </w:pPr>
        <w:rPr>
          <w:rFonts w:hint="default"/>
          <w:b/>
          <w:bCs/>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10" w16cid:durableId="1397121207">
    <w:abstractNumId w:val="17"/>
  </w:num>
  <w:num w:numId="11" w16cid:durableId="1874923127">
    <w:abstractNumId w:val="13"/>
  </w:num>
  <w:num w:numId="12" w16cid:durableId="1189104391">
    <w:abstractNumId w:val="25"/>
  </w:num>
  <w:num w:numId="13" w16cid:durableId="270552057">
    <w:abstractNumId w:val="31"/>
  </w:num>
  <w:num w:numId="14" w16cid:durableId="857696803">
    <w:abstractNumId w:val="29"/>
  </w:num>
  <w:num w:numId="15" w16cid:durableId="1579054655">
    <w:abstractNumId w:val="34"/>
  </w:num>
  <w:num w:numId="16" w16cid:durableId="93595020">
    <w:abstractNumId w:val="12"/>
  </w:num>
  <w:num w:numId="17" w16cid:durableId="596258659">
    <w:abstractNumId w:val="27"/>
  </w:num>
  <w:num w:numId="18" w16cid:durableId="304815269">
    <w:abstractNumId w:val="26"/>
  </w:num>
  <w:num w:numId="19" w16cid:durableId="614484304">
    <w:abstractNumId w:val="28"/>
  </w:num>
  <w:num w:numId="20" w16cid:durableId="969434176">
    <w:abstractNumId w:val="8"/>
  </w:num>
  <w:num w:numId="21" w16cid:durableId="973291154">
    <w:abstractNumId w:val="30"/>
  </w:num>
  <w:num w:numId="22" w16cid:durableId="448738823">
    <w:abstractNumId w:val="24"/>
  </w:num>
  <w:num w:numId="23" w16cid:durableId="1103186884">
    <w:abstractNumId w:val="32"/>
  </w:num>
  <w:num w:numId="24" w16cid:durableId="1412005784">
    <w:abstractNumId w:val="21"/>
  </w:num>
  <w:num w:numId="25" w16cid:durableId="374932403">
    <w:abstractNumId w:val="5"/>
  </w:num>
  <w:num w:numId="26" w16cid:durableId="831796428">
    <w:abstractNumId w:val="14"/>
  </w:num>
  <w:num w:numId="27" w16cid:durableId="1974406046">
    <w:abstractNumId w:val="19"/>
  </w:num>
  <w:num w:numId="28" w16cid:durableId="1680545174">
    <w:abstractNumId w:val="33"/>
  </w:num>
  <w:num w:numId="29" w16cid:durableId="382145692">
    <w:abstractNumId w:val="22"/>
  </w:num>
  <w:num w:numId="30" w16cid:durableId="1026717273">
    <w:abstractNumId w:val="9"/>
  </w:num>
  <w:num w:numId="31" w16cid:durableId="197545994">
    <w:abstractNumId w:val="20"/>
  </w:num>
  <w:num w:numId="32" w16cid:durableId="62340604">
    <w:abstractNumId w:val="2"/>
  </w:num>
  <w:num w:numId="33" w16cid:durableId="1185632540">
    <w:abstractNumId w:val="1"/>
  </w:num>
  <w:num w:numId="34" w16cid:durableId="949512034">
    <w:abstractNumId w:val="0"/>
  </w:num>
  <w:num w:numId="35" w16cid:durableId="1507476743">
    <w:abstractNumId w:val="11"/>
  </w:num>
  <w:num w:numId="36" w16cid:durableId="1112894522">
    <w:abstractNumId w:val="4"/>
  </w:num>
  <w:num w:numId="37" w16cid:durableId="1917126064">
    <w:abstractNumId w:val="7"/>
  </w:num>
  <w:num w:numId="38" w16cid:durableId="649791857">
    <w:abstractNumId w:val="10"/>
  </w:num>
  <w:num w:numId="39" w16cid:durableId="988242492">
    <w:abstractNumId w:val="3"/>
  </w:num>
  <w:num w:numId="40" w16cid:durableId="17934745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12"/>
    <w:rsid w:val="00017723"/>
    <w:rsid w:val="00021DB1"/>
    <w:rsid w:val="0003342B"/>
    <w:rsid w:val="00042A1F"/>
    <w:rsid w:val="00080135"/>
    <w:rsid w:val="0008768F"/>
    <w:rsid w:val="00093234"/>
    <w:rsid w:val="000A288B"/>
    <w:rsid w:val="000A646F"/>
    <w:rsid w:val="000B21DC"/>
    <w:rsid w:val="000C2E76"/>
    <w:rsid w:val="000C4AB7"/>
    <w:rsid w:val="000D5D79"/>
    <w:rsid w:val="000D63C0"/>
    <w:rsid w:val="000E25C5"/>
    <w:rsid w:val="00104AE0"/>
    <w:rsid w:val="00105994"/>
    <w:rsid w:val="00106683"/>
    <w:rsid w:val="00121BE2"/>
    <w:rsid w:val="001465DA"/>
    <w:rsid w:val="00164596"/>
    <w:rsid w:val="0017029A"/>
    <w:rsid w:val="001739A7"/>
    <w:rsid w:val="00177CE2"/>
    <w:rsid w:val="0018114F"/>
    <w:rsid w:val="00181B73"/>
    <w:rsid w:val="00185AF2"/>
    <w:rsid w:val="00187512"/>
    <w:rsid w:val="001951F1"/>
    <w:rsid w:val="00197156"/>
    <w:rsid w:val="00197E23"/>
    <w:rsid w:val="001A1B66"/>
    <w:rsid w:val="001B3AD0"/>
    <w:rsid w:val="001B74FC"/>
    <w:rsid w:val="001C0154"/>
    <w:rsid w:val="001C4B08"/>
    <w:rsid w:val="001D6DB0"/>
    <w:rsid w:val="001E173B"/>
    <w:rsid w:val="001E7290"/>
    <w:rsid w:val="001F2610"/>
    <w:rsid w:val="00212C7C"/>
    <w:rsid w:val="00220FD9"/>
    <w:rsid w:val="002654D3"/>
    <w:rsid w:val="00273436"/>
    <w:rsid w:val="002803AC"/>
    <w:rsid w:val="00291019"/>
    <w:rsid w:val="00291BA6"/>
    <w:rsid w:val="002A0E0F"/>
    <w:rsid w:val="002B1E17"/>
    <w:rsid w:val="002B4BCF"/>
    <w:rsid w:val="002D0B03"/>
    <w:rsid w:val="002E4E4C"/>
    <w:rsid w:val="002F05A8"/>
    <w:rsid w:val="00305CA2"/>
    <w:rsid w:val="003060FE"/>
    <w:rsid w:val="00313210"/>
    <w:rsid w:val="00327906"/>
    <w:rsid w:val="003467F1"/>
    <w:rsid w:val="003526EB"/>
    <w:rsid w:val="00361ADD"/>
    <w:rsid w:val="00363F19"/>
    <w:rsid w:val="003657DD"/>
    <w:rsid w:val="00370127"/>
    <w:rsid w:val="003771A0"/>
    <w:rsid w:val="00381512"/>
    <w:rsid w:val="00383C7B"/>
    <w:rsid w:val="00386D9D"/>
    <w:rsid w:val="0039679C"/>
    <w:rsid w:val="003A0B61"/>
    <w:rsid w:val="003B47B6"/>
    <w:rsid w:val="003C46FA"/>
    <w:rsid w:val="003C5AFE"/>
    <w:rsid w:val="003D5C1E"/>
    <w:rsid w:val="003D6B7B"/>
    <w:rsid w:val="003F0BA2"/>
    <w:rsid w:val="004038EF"/>
    <w:rsid w:val="00411CB9"/>
    <w:rsid w:val="004171E4"/>
    <w:rsid w:val="00425133"/>
    <w:rsid w:val="00447F98"/>
    <w:rsid w:val="00463CB0"/>
    <w:rsid w:val="00463FBD"/>
    <w:rsid w:val="00483918"/>
    <w:rsid w:val="004A5C51"/>
    <w:rsid w:val="004B35BE"/>
    <w:rsid w:val="004B4D7C"/>
    <w:rsid w:val="004B5683"/>
    <w:rsid w:val="004D164C"/>
    <w:rsid w:val="004D29C5"/>
    <w:rsid w:val="004D2CD0"/>
    <w:rsid w:val="004D3D2E"/>
    <w:rsid w:val="004D486E"/>
    <w:rsid w:val="004E0A3B"/>
    <w:rsid w:val="004E1797"/>
    <w:rsid w:val="004E4A35"/>
    <w:rsid w:val="004E4D8A"/>
    <w:rsid w:val="004F7DA1"/>
    <w:rsid w:val="00500F31"/>
    <w:rsid w:val="00501674"/>
    <w:rsid w:val="00501A2B"/>
    <w:rsid w:val="00501CC3"/>
    <w:rsid w:val="00502E6F"/>
    <w:rsid w:val="00520AD5"/>
    <w:rsid w:val="00520D27"/>
    <w:rsid w:val="005236FD"/>
    <w:rsid w:val="00525B23"/>
    <w:rsid w:val="0055111B"/>
    <w:rsid w:val="0055524C"/>
    <w:rsid w:val="005564A9"/>
    <w:rsid w:val="0055680F"/>
    <w:rsid w:val="00565075"/>
    <w:rsid w:val="00573A54"/>
    <w:rsid w:val="00577033"/>
    <w:rsid w:val="00583634"/>
    <w:rsid w:val="005843C5"/>
    <w:rsid w:val="005913F1"/>
    <w:rsid w:val="005A74A2"/>
    <w:rsid w:val="005B13F5"/>
    <w:rsid w:val="005B20E7"/>
    <w:rsid w:val="005B4D3B"/>
    <w:rsid w:val="005D4235"/>
    <w:rsid w:val="006013D9"/>
    <w:rsid w:val="00603991"/>
    <w:rsid w:val="00605CDE"/>
    <w:rsid w:val="00613AE1"/>
    <w:rsid w:val="006258CC"/>
    <w:rsid w:val="006307A0"/>
    <w:rsid w:val="00633D59"/>
    <w:rsid w:val="00644D4A"/>
    <w:rsid w:val="00645773"/>
    <w:rsid w:val="00670D7C"/>
    <w:rsid w:val="0067454F"/>
    <w:rsid w:val="0067640D"/>
    <w:rsid w:val="006808FE"/>
    <w:rsid w:val="00681D19"/>
    <w:rsid w:val="00685CC2"/>
    <w:rsid w:val="00695FF5"/>
    <w:rsid w:val="006A4419"/>
    <w:rsid w:val="006B3546"/>
    <w:rsid w:val="006C67BF"/>
    <w:rsid w:val="006D2B0B"/>
    <w:rsid w:val="006D5B21"/>
    <w:rsid w:val="006E23DE"/>
    <w:rsid w:val="006E4202"/>
    <w:rsid w:val="006E6604"/>
    <w:rsid w:val="006E6C2C"/>
    <w:rsid w:val="00702673"/>
    <w:rsid w:val="00707F06"/>
    <w:rsid w:val="0071434E"/>
    <w:rsid w:val="00716B1B"/>
    <w:rsid w:val="00717888"/>
    <w:rsid w:val="00720ED1"/>
    <w:rsid w:val="00760803"/>
    <w:rsid w:val="00762017"/>
    <w:rsid w:val="00771B51"/>
    <w:rsid w:val="00773D85"/>
    <w:rsid w:val="007741F9"/>
    <w:rsid w:val="00774ED3"/>
    <w:rsid w:val="00775321"/>
    <w:rsid w:val="007839A5"/>
    <w:rsid w:val="00786202"/>
    <w:rsid w:val="00786C6B"/>
    <w:rsid w:val="00790C5E"/>
    <w:rsid w:val="00791064"/>
    <w:rsid w:val="007925DE"/>
    <w:rsid w:val="007967E1"/>
    <w:rsid w:val="00797622"/>
    <w:rsid w:val="007A5193"/>
    <w:rsid w:val="007B4512"/>
    <w:rsid w:val="007D0A8C"/>
    <w:rsid w:val="007D3FA5"/>
    <w:rsid w:val="007E2FBA"/>
    <w:rsid w:val="007F1700"/>
    <w:rsid w:val="007F7136"/>
    <w:rsid w:val="00807736"/>
    <w:rsid w:val="0080780E"/>
    <w:rsid w:val="00820FC8"/>
    <w:rsid w:val="00823857"/>
    <w:rsid w:val="008329CF"/>
    <w:rsid w:val="008462EB"/>
    <w:rsid w:val="008718FB"/>
    <w:rsid w:val="00871995"/>
    <w:rsid w:val="0087587F"/>
    <w:rsid w:val="008779AA"/>
    <w:rsid w:val="00885B2C"/>
    <w:rsid w:val="00897787"/>
    <w:rsid w:val="008A42E3"/>
    <w:rsid w:val="008A5B98"/>
    <w:rsid w:val="008B5128"/>
    <w:rsid w:val="008B6B13"/>
    <w:rsid w:val="008C3816"/>
    <w:rsid w:val="008D7AAD"/>
    <w:rsid w:val="008E30E7"/>
    <w:rsid w:val="0090090D"/>
    <w:rsid w:val="009125CD"/>
    <w:rsid w:val="00922C65"/>
    <w:rsid w:val="009334EB"/>
    <w:rsid w:val="00935B29"/>
    <w:rsid w:val="00936292"/>
    <w:rsid w:val="00940206"/>
    <w:rsid w:val="00940F6A"/>
    <w:rsid w:val="00954C8D"/>
    <w:rsid w:val="0095526A"/>
    <w:rsid w:val="0096278A"/>
    <w:rsid w:val="00962CBB"/>
    <w:rsid w:val="009658F8"/>
    <w:rsid w:val="00971329"/>
    <w:rsid w:val="00974650"/>
    <w:rsid w:val="00977143"/>
    <w:rsid w:val="00981CB6"/>
    <w:rsid w:val="00984EBC"/>
    <w:rsid w:val="009A208A"/>
    <w:rsid w:val="009B401D"/>
    <w:rsid w:val="009D145C"/>
    <w:rsid w:val="009D47F4"/>
    <w:rsid w:val="009E40D9"/>
    <w:rsid w:val="00A049C5"/>
    <w:rsid w:val="00A166D6"/>
    <w:rsid w:val="00A24E3A"/>
    <w:rsid w:val="00A26C1A"/>
    <w:rsid w:val="00A271F2"/>
    <w:rsid w:val="00A276A3"/>
    <w:rsid w:val="00A36A13"/>
    <w:rsid w:val="00A41EBF"/>
    <w:rsid w:val="00A460F7"/>
    <w:rsid w:val="00A4703B"/>
    <w:rsid w:val="00A472E4"/>
    <w:rsid w:val="00A51CC5"/>
    <w:rsid w:val="00A55ED0"/>
    <w:rsid w:val="00A624A8"/>
    <w:rsid w:val="00A62DF7"/>
    <w:rsid w:val="00A62E18"/>
    <w:rsid w:val="00A64183"/>
    <w:rsid w:val="00A71FC9"/>
    <w:rsid w:val="00A73F1A"/>
    <w:rsid w:val="00A74AA0"/>
    <w:rsid w:val="00A778C1"/>
    <w:rsid w:val="00A8352B"/>
    <w:rsid w:val="00A90E94"/>
    <w:rsid w:val="00A94F7C"/>
    <w:rsid w:val="00A950B6"/>
    <w:rsid w:val="00AD79D5"/>
    <w:rsid w:val="00AE2D82"/>
    <w:rsid w:val="00AE3833"/>
    <w:rsid w:val="00AF53EB"/>
    <w:rsid w:val="00AF6898"/>
    <w:rsid w:val="00AF778C"/>
    <w:rsid w:val="00B05A58"/>
    <w:rsid w:val="00B243D4"/>
    <w:rsid w:val="00B3040B"/>
    <w:rsid w:val="00B46141"/>
    <w:rsid w:val="00B50170"/>
    <w:rsid w:val="00B51D5A"/>
    <w:rsid w:val="00B56094"/>
    <w:rsid w:val="00B6769F"/>
    <w:rsid w:val="00B70159"/>
    <w:rsid w:val="00B85B44"/>
    <w:rsid w:val="00B90E25"/>
    <w:rsid w:val="00BA3451"/>
    <w:rsid w:val="00BA49CA"/>
    <w:rsid w:val="00BB5E39"/>
    <w:rsid w:val="00BB6BD2"/>
    <w:rsid w:val="00BB7210"/>
    <w:rsid w:val="00BC198A"/>
    <w:rsid w:val="00BC347B"/>
    <w:rsid w:val="00BC5055"/>
    <w:rsid w:val="00BC57B3"/>
    <w:rsid w:val="00BC6E2D"/>
    <w:rsid w:val="00BD2FF2"/>
    <w:rsid w:val="00BD3849"/>
    <w:rsid w:val="00BD3D63"/>
    <w:rsid w:val="00BD761A"/>
    <w:rsid w:val="00BE0665"/>
    <w:rsid w:val="00BF4A14"/>
    <w:rsid w:val="00BF70BB"/>
    <w:rsid w:val="00BF7B21"/>
    <w:rsid w:val="00C04330"/>
    <w:rsid w:val="00C05B3C"/>
    <w:rsid w:val="00C07927"/>
    <w:rsid w:val="00C223B7"/>
    <w:rsid w:val="00C313C9"/>
    <w:rsid w:val="00C32B9A"/>
    <w:rsid w:val="00C3483E"/>
    <w:rsid w:val="00C36BBF"/>
    <w:rsid w:val="00C40F44"/>
    <w:rsid w:val="00C4169A"/>
    <w:rsid w:val="00C42924"/>
    <w:rsid w:val="00C43D71"/>
    <w:rsid w:val="00C45F41"/>
    <w:rsid w:val="00C467DA"/>
    <w:rsid w:val="00C55DCE"/>
    <w:rsid w:val="00C66F8E"/>
    <w:rsid w:val="00C805D2"/>
    <w:rsid w:val="00C8142B"/>
    <w:rsid w:val="00C914E3"/>
    <w:rsid w:val="00C93793"/>
    <w:rsid w:val="00C93D89"/>
    <w:rsid w:val="00CB22B2"/>
    <w:rsid w:val="00CE18EB"/>
    <w:rsid w:val="00CE5C96"/>
    <w:rsid w:val="00CE762F"/>
    <w:rsid w:val="00CF4530"/>
    <w:rsid w:val="00D14C75"/>
    <w:rsid w:val="00D259AA"/>
    <w:rsid w:val="00D319CD"/>
    <w:rsid w:val="00D42C44"/>
    <w:rsid w:val="00D5066E"/>
    <w:rsid w:val="00D526C3"/>
    <w:rsid w:val="00D70D07"/>
    <w:rsid w:val="00D846FC"/>
    <w:rsid w:val="00D9383A"/>
    <w:rsid w:val="00DA3D4B"/>
    <w:rsid w:val="00DA543C"/>
    <w:rsid w:val="00DB497F"/>
    <w:rsid w:val="00DB6F45"/>
    <w:rsid w:val="00DC6BF5"/>
    <w:rsid w:val="00DC71A3"/>
    <w:rsid w:val="00DD0566"/>
    <w:rsid w:val="00DD669E"/>
    <w:rsid w:val="00DF6FF9"/>
    <w:rsid w:val="00DF70CD"/>
    <w:rsid w:val="00DF737E"/>
    <w:rsid w:val="00E000E4"/>
    <w:rsid w:val="00E0615F"/>
    <w:rsid w:val="00E06AE7"/>
    <w:rsid w:val="00E26277"/>
    <w:rsid w:val="00E331EB"/>
    <w:rsid w:val="00E36C6E"/>
    <w:rsid w:val="00E41BBD"/>
    <w:rsid w:val="00E502E6"/>
    <w:rsid w:val="00E61AE6"/>
    <w:rsid w:val="00E63AEE"/>
    <w:rsid w:val="00E7195C"/>
    <w:rsid w:val="00E90788"/>
    <w:rsid w:val="00E97338"/>
    <w:rsid w:val="00EA0A18"/>
    <w:rsid w:val="00EB1B59"/>
    <w:rsid w:val="00EB3AB9"/>
    <w:rsid w:val="00EB6992"/>
    <w:rsid w:val="00ED0036"/>
    <w:rsid w:val="00ED2636"/>
    <w:rsid w:val="00ED44BC"/>
    <w:rsid w:val="00EE2AE2"/>
    <w:rsid w:val="00F05D04"/>
    <w:rsid w:val="00F1194A"/>
    <w:rsid w:val="00F25C91"/>
    <w:rsid w:val="00F37665"/>
    <w:rsid w:val="00F43B6E"/>
    <w:rsid w:val="00F44891"/>
    <w:rsid w:val="00F45CC6"/>
    <w:rsid w:val="00F500D0"/>
    <w:rsid w:val="00F515E3"/>
    <w:rsid w:val="00F517DA"/>
    <w:rsid w:val="00F51D95"/>
    <w:rsid w:val="00F60140"/>
    <w:rsid w:val="00F63489"/>
    <w:rsid w:val="00F73618"/>
    <w:rsid w:val="00F952E1"/>
    <w:rsid w:val="00FA3877"/>
    <w:rsid w:val="00FA414A"/>
    <w:rsid w:val="00FD57AF"/>
    <w:rsid w:val="00FE7352"/>
    <w:rsid w:val="015E604A"/>
    <w:rsid w:val="01724A54"/>
    <w:rsid w:val="018F3186"/>
    <w:rsid w:val="02CBDF54"/>
    <w:rsid w:val="02FB2A18"/>
    <w:rsid w:val="03B0525F"/>
    <w:rsid w:val="041B8309"/>
    <w:rsid w:val="04731F8F"/>
    <w:rsid w:val="05CD37DF"/>
    <w:rsid w:val="0640446F"/>
    <w:rsid w:val="06997D76"/>
    <w:rsid w:val="06E70375"/>
    <w:rsid w:val="070D372E"/>
    <w:rsid w:val="07F06F68"/>
    <w:rsid w:val="08883ABB"/>
    <w:rsid w:val="097379F4"/>
    <w:rsid w:val="0B29C43C"/>
    <w:rsid w:val="0B9113FD"/>
    <w:rsid w:val="0BB18542"/>
    <w:rsid w:val="0BBDF009"/>
    <w:rsid w:val="0C6487D8"/>
    <w:rsid w:val="0C8F68A8"/>
    <w:rsid w:val="0D5801E5"/>
    <w:rsid w:val="0DC03538"/>
    <w:rsid w:val="0E50E072"/>
    <w:rsid w:val="105A0C85"/>
    <w:rsid w:val="10DCC1C2"/>
    <w:rsid w:val="11976330"/>
    <w:rsid w:val="11CBE0B6"/>
    <w:rsid w:val="11E483B7"/>
    <w:rsid w:val="15E9D0F4"/>
    <w:rsid w:val="15F05C28"/>
    <w:rsid w:val="1829AB6B"/>
    <w:rsid w:val="19C2919D"/>
    <w:rsid w:val="1A3DD75C"/>
    <w:rsid w:val="1A7C3EEE"/>
    <w:rsid w:val="1AA36E4C"/>
    <w:rsid w:val="1B54AA32"/>
    <w:rsid w:val="1C1F3878"/>
    <w:rsid w:val="1C25AF54"/>
    <w:rsid w:val="1D4FD8AC"/>
    <w:rsid w:val="1E0D8D61"/>
    <w:rsid w:val="1E60542B"/>
    <w:rsid w:val="1EFD03C4"/>
    <w:rsid w:val="1F6304C1"/>
    <w:rsid w:val="1F8194F1"/>
    <w:rsid w:val="2097BA51"/>
    <w:rsid w:val="22020EAE"/>
    <w:rsid w:val="22177479"/>
    <w:rsid w:val="233DA2AF"/>
    <w:rsid w:val="2391BF2B"/>
    <w:rsid w:val="2403CE5E"/>
    <w:rsid w:val="2430DE14"/>
    <w:rsid w:val="2433B2FC"/>
    <w:rsid w:val="26609D77"/>
    <w:rsid w:val="271067AA"/>
    <w:rsid w:val="29162F12"/>
    <w:rsid w:val="29B351D6"/>
    <w:rsid w:val="2A398890"/>
    <w:rsid w:val="2B0A44AA"/>
    <w:rsid w:val="2C74CB29"/>
    <w:rsid w:val="2D476664"/>
    <w:rsid w:val="2E766697"/>
    <w:rsid w:val="2F503EDB"/>
    <w:rsid w:val="3169F3D0"/>
    <w:rsid w:val="321D57A8"/>
    <w:rsid w:val="3329116D"/>
    <w:rsid w:val="34D68339"/>
    <w:rsid w:val="34E083C8"/>
    <w:rsid w:val="351B85C3"/>
    <w:rsid w:val="356CFC3A"/>
    <w:rsid w:val="361064D5"/>
    <w:rsid w:val="363638E7"/>
    <w:rsid w:val="36C72E02"/>
    <w:rsid w:val="372ED0F2"/>
    <w:rsid w:val="3848065E"/>
    <w:rsid w:val="38AEADC6"/>
    <w:rsid w:val="3C17E640"/>
    <w:rsid w:val="3E2C9972"/>
    <w:rsid w:val="4086C377"/>
    <w:rsid w:val="41926BCD"/>
    <w:rsid w:val="41939B80"/>
    <w:rsid w:val="41C16510"/>
    <w:rsid w:val="421724A6"/>
    <w:rsid w:val="429AECE0"/>
    <w:rsid w:val="45BA4674"/>
    <w:rsid w:val="47462B66"/>
    <w:rsid w:val="48D0BD84"/>
    <w:rsid w:val="4954ACC4"/>
    <w:rsid w:val="4A560B57"/>
    <w:rsid w:val="4A94DC48"/>
    <w:rsid w:val="4C4170F1"/>
    <w:rsid w:val="4CD2BFFA"/>
    <w:rsid w:val="4DBD12EC"/>
    <w:rsid w:val="4DBD4441"/>
    <w:rsid w:val="4DD7BB85"/>
    <w:rsid w:val="4E6D102A"/>
    <w:rsid w:val="52080FF3"/>
    <w:rsid w:val="551BA443"/>
    <w:rsid w:val="57EE93B4"/>
    <w:rsid w:val="585E2DF8"/>
    <w:rsid w:val="5869B6D5"/>
    <w:rsid w:val="5A0AC476"/>
    <w:rsid w:val="5AC2C920"/>
    <w:rsid w:val="5B3EC704"/>
    <w:rsid w:val="5BE3C1E6"/>
    <w:rsid w:val="5D831E17"/>
    <w:rsid w:val="5DD839E9"/>
    <w:rsid w:val="600631D8"/>
    <w:rsid w:val="61688282"/>
    <w:rsid w:val="61A58666"/>
    <w:rsid w:val="620A38A6"/>
    <w:rsid w:val="63352871"/>
    <w:rsid w:val="6429FFF3"/>
    <w:rsid w:val="65CE6FB6"/>
    <w:rsid w:val="6829854F"/>
    <w:rsid w:val="697B6C41"/>
    <w:rsid w:val="6A1C26D6"/>
    <w:rsid w:val="6A4F018B"/>
    <w:rsid w:val="6C1BE08D"/>
    <w:rsid w:val="6C3A89C4"/>
    <w:rsid w:val="6D0D50EC"/>
    <w:rsid w:val="6E976A58"/>
    <w:rsid w:val="72A4E2AF"/>
    <w:rsid w:val="73083028"/>
    <w:rsid w:val="736499D2"/>
    <w:rsid w:val="73C12C1D"/>
    <w:rsid w:val="747DA553"/>
    <w:rsid w:val="74E41D87"/>
    <w:rsid w:val="751B78DE"/>
    <w:rsid w:val="752EE6DD"/>
    <w:rsid w:val="7597D476"/>
    <w:rsid w:val="768F8AC3"/>
    <w:rsid w:val="76AF8772"/>
    <w:rsid w:val="77EEA35C"/>
    <w:rsid w:val="785EF9D3"/>
    <w:rsid w:val="790E4D3C"/>
    <w:rsid w:val="7B3945BC"/>
    <w:rsid w:val="7BADBE52"/>
    <w:rsid w:val="7BC70F67"/>
    <w:rsid w:val="7BEFFEF7"/>
    <w:rsid w:val="7C9CF0DD"/>
    <w:rsid w:val="7E5482E4"/>
    <w:rsid w:val="7FAAF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2A10"/>
  <w15:chartTrackingRefBased/>
  <w15:docId w15:val="{8720F4A3-2AFA-45FA-AAAB-C3A1BCBD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512"/>
    <w:rPr>
      <w:rFonts w:ascii="Arial" w:eastAsia="MS Mincho" w:hAnsi="Arial" w:cs="Times New Roman"/>
      <w:sz w:val="24"/>
      <w:szCs w:val="24"/>
      <w:lang w:eastAsia="ja-JP"/>
    </w:rPr>
  </w:style>
  <w:style w:type="paragraph" w:styleId="Heading1">
    <w:name w:val="heading 1"/>
    <w:basedOn w:val="Normal"/>
    <w:next w:val="Normal"/>
    <w:link w:val="Heading1Char"/>
    <w:uiPriority w:val="9"/>
    <w:qFormat/>
    <w:rsid w:val="00C3483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4512"/>
    <w:pPr>
      <w:tabs>
        <w:tab w:val="center" w:pos="4464"/>
        <w:tab w:val="right" w:pos="8928"/>
      </w:tabs>
    </w:pPr>
  </w:style>
  <w:style w:type="character" w:customStyle="1" w:styleId="HeaderChar">
    <w:name w:val="Header Char"/>
    <w:basedOn w:val="DefaultParagraphFont"/>
    <w:link w:val="Header"/>
    <w:uiPriority w:val="99"/>
    <w:rsid w:val="007B4512"/>
    <w:rPr>
      <w:rFonts w:ascii="Arial" w:eastAsia="MS Mincho" w:hAnsi="Arial" w:cs="Times New Roman"/>
      <w:sz w:val="24"/>
      <w:szCs w:val="24"/>
      <w:lang w:eastAsia="ja-JP"/>
    </w:rPr>
  </w:style>
  <w:style w:type="paragraph" w:styleId="Footer">
    <w:name w:val="footer"/>
    <w:basedOn w:val="Normal"/>
    <w:link w:val="FooterChar"/>
    <w:uiPriority w:val="99"/>
    <w:unhideWhenUsed/>
    <w:rsid w:val="007B4512"/>
    <w:pPr>
      <w:tabs>
        <w:tab w:val="center" w:pos="4513"/>
        <w:tab w:val="right" w:pos="9026"/>
      </w:tabs>
    </w:pPr>
  </w:style>
  <w:style w:type="character" w:customStyle="1" w:styleId="FooterChar">
    <w:name w:val="Footer Char"/>
    <w:basedOn w:val="DefaultParagraphFont"/>
    <w:link w:val="Footer"/>
    <w:uiPriority w:val="99"/>
    <w:rsid w:val="007B4512"/>
    <w:rPr>
      <w:rFonts w:ascii="Arial" w:eastAsia="MS Mincho" w:hAnsi="Arial" w:cs="Times New Roman"/>
      <w:sz w:val="24"/>
      <w:szCs w:val="24"/>
      <w:lang w:eastAsia="ja-JP"/>
    </w:rPr>
  </w:style>
  <w:style w:type="paragraph" w:styleId="NoSpacing">
    <w:name w:val="No Spacing"/>
    <w:uiPriority w:val="1"/>
    <w:qFormat/>
    <w:rsid w:val="00F515E3"/>
    <w:rPr>
      <w:rFonts w:ascii="Arial" w:eastAsia="MS Mincho" w:hAnsi="Arial" w:cs="Times New Roman"/>
      <w:sz w:val="24"/>
      <w:szCs w:val="24"/>
      <w:lang w:eastAsia="ja-JP"/>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
    <w:basedOn w:val="Normal"/>
    <w:link w:val="ListParagraphChar"/>
    <w:uiPriority w:val="34"/>
    <w:qFormat/>
    <w:rsid w:val="003D6B7B"/>
    <w:pPr>
      <w:spacing w:after="200" w:line="276" w:lineRule="auto"/>
      <w:ind w:left="720"/>
      <w:contextualSpacing/>
    </w:pPr>
    <w:rPr>
      <w:rFonts w:ascii="Calibri" w:eastAsia="Times New Roman" w:hAnsi="Calibri"/>
      <w:sz w:val="22"/>
      <w:szCs w:val="22"/>
      <w:lang w:eastAsia="en-US"/>
    </w:rPr>
  </w:style>
  <w:style w:type="paragraph" w:styleId="NormalWeb">
    <w:name w:val="Normal (Web)"/>
    <w:basedOn w:val="Normal"/>
    <w:uiPriority w:val="99"/>
    <w:rsid w:val="00CE5C96"/>
    <w:pPr>
      <w:spacing w:before="100" w:beforeAutospacing="1" w:after="100" w:afterAutospacing="1"/>
    </w:pPr>
    <w:rPr>
      <w:rFonts w:ascii="Times" w:hAnsi="Times"/>
      <w:sz w:val="20"/>
      <w:szCs w:val="20"/>
      <w:lang w:eastAsia="en-US"/>
    </w:rPr>
  </w:style>
  <w:style w:type="character" w:styleId="Hyperlink">
    <w:name w:val="Hyperlink"/>
    <w:basedOn w:val="DefaultParagraphFont"/>
    <w:uiPriority w:val="99"/>
    <w:unhideWhenUsed/>
    <w:rsid w:val="00291019"/>
    <w:rPr>
      <w:color w:val="0563C1" w:themeColor="hyperlink"/>
      <w:u w:val="single"/>
    </w:rPr>
  </w:style>
  <w:style w:type="character" w:styleId="FollowedHyperlink">
    <w:name w:val="FollowedHyperlink"/>
    <w:basedOn w:val="DefaultParagraphFont"/>
    <w:uiPriority w:val="99"/>
    <w:semiHidden/>
    <w:unhideWhenUsed/>
    <w:rsid w:val="00291019"/>
    <w:rPr>
      <w:color w:val="954F72" w:themeColor="followedHyperlink"/>
      <w:u w:val="single"/>
    </w:rPr>
  </w:style>
  <w:style w:type="paragraph" w:styleId="BalloonText">
    <w:name w:val="Balloon Text"/>
    <w:basedOn w:val="Normal"/>
    <w:link w:val="BalloonTextChar"/>
    <w:uiPriority w:val="99"/>
    <w:semiHidden/>
    <w:unhideWhenUsed/>
    <w:rsid w:val="00BA49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9CA"/>
    <w:rPr>
      <w:rFonts w:ascii="Segoe UI" w:eastAsia="MS Mincho" w:hAnsi="Segoe UI" w:cs="Segoe UI"/>
      <w:sz w:val="18"/>
      <w:szCs w:val="18"/>
      <w:lang w:eastAsia="ja-JP"/>
    </w:rPr>
  </w:style>
  <w:style w:type="table" w:styleId="TableGrid">
    <w:name w:val="Table Grid"/>
    <w:basedOn w:val="TableNormal"/>
    <w:uiPriority w:val="39"/>
    <w:rsid w:val="00BA4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63CB0"/>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463CB0"/>
  </w:style>
  <w:style w:type="character" w:customStyle="1" w:styleId="eop">
    <w:name w:val="eop"/>
    <w:basedOn w:val="DefaultParagraphFont"/>
    <w:rsid w:val="00463CB0"/>
  </w:style>
  <w:style w:type="character" w:customStyle="1" w:styleId="advancedproofingissue">
    <w:name w:val="advancedproofingissue"/>
    <w:basedOn w:val="DefaultParagraphFont"/>
    <w:rsid w:val="00463CB0"/>
  </w:style>
  <w:style w:type="character" w:styleId="CommentReference">
    <w:name w:val="annotation reference"/>
    <w:basedOn w:val="DefaultParagraphFont"/>
    <w:uiPriority w:val="99"/>
    <w:semiHidden/>
    <w:unhideWhenUsed/>
    <w:rsid w:val="0039679C"/>
    <w:rPr>
      <w:sz w:val="16"/>
      <w:szCs w:val="16"/>
    </w:rPr>
  </w:style>
  <w:style w:type="paragraph" w:styleId="CommentText">
    <w:name w:val="annotation text"/>
    <w:basedOn w:val="Normal"/>
    <w:link w:val="CommentTextChar"/>
    <w:uiPriority w:val="99"/>
    <w:unhideWhenUsed/>
    <w:rsid w:val="0039679C"/>
    <w:rPr>
      <w:sz w:val="20"/>
      <w:szCs w:val="20"/>
    </w:rPr>
  </w:style>
  <w:style w:type="character" w:customStyle="1" w:styleId="CommentTextChar">
    <w:name w:val="Comment Text Char"/>
    <w:basedOn w:val="DefaultParagraphFont"/>
    <w:link w:val="CommentText"/>
    <w:uiPriority w:val="99"/>
    <w:rsid w:val="0039679C"/>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39679C"/>
    <w:rPr>
      <w:b/>
      <w:bCs/>
    </w:rPr>
  </w:style>
  <w:style w:type="character" w:customStyle="1" w:styleId="CommentSubjectChar">
    <w:name w:val="Comment Subject Char"/>
    <w:basedOn w:val="CommentTextChar"/>
    <w:link w:val="CommentSubject"/>
    <w:uiPriority w:val="99"/>
    <w:semiHidden/>
    <w:rsid w:val="0039679C"/>
    <w:rPr>
      <w:rFonts w:ascii="Arial" w:eastAsia="MS Mincho" w:hAnsi="Arial" w:cs="Times New Roman"/>
      <w:b/>
      <w:bCs/>
      <w:sz w:val="20"/>
      <w:szCs w:val="20"/>
      <w:lang w:eastAsia="ja-JP"/>
    </w:rPr>
  </w:style>
  <w:style w:type="paragraph" w:customStyle="1" w:styleId="Default">
    <w:name w:val="Default"/>
    <w:rsid w:val="00717888"/>
    <w:pPr>
      <w:autoSpaceDE w:val="0"/>
      <w:autoSpaceDN w:val="0"/>
      <w:adjustRightInd w:val="0"/>
    </w:pPr>
    <w:rPr>
      <w:rFonts w:ascii="Arial" w:hAnsi="Arial" w:cs="Arial"/>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link w:val="ListParagraph"/>
    <w:uiPriority w:val="34"/>
    <w:qFormat/>
    <w:rsid w:val="009D47F4"/>
    <w:rPr>
      <w:rFonts w:ascii="Calibri" w:eastAsia="Times New Roman" w:hAnsi="Calibri" w:cs="Times New Roman"/>
    </w:rPr>
  </w:style>
  <w:style w:type="character" w:styleId="Mention">
    <w:name w:val="Mention"/>
    <w:basedOn w:val="DefaultParagraphFont"/>
    <w:uiPriority w:val="99"/>
    <w:unhideWhenUsed/>
    <w:rsid w:val="00B3040B"/>
    <w:rPr>
      <w:color w:val="2B579A"/>
      <w:shd w:val="clear" w:color="auto" w:fill="E1DFDD"/>
    </w:rPr>
  </w:style>
  <w:style w:type="character" w:styleId="UnresolvedMention">
    <w:name w:val="Unresolved Mention"/>
    <w:basedOn w:val="DefaultParagraphFont"/>
    <w:uiPriority w:val="99"/>
    <w:semiHidden/>
    <w:unhideWhenUsed/>
    <w:rsid w:val="00B90E25"/>
    <w:rPr>
      <w:color w:val="605E5C"/>
      <w:shd w:val="clear" w:color="auto" w:fill="E1DFDD"/>
    </w:rPr>
  </w:style>
  <w:style w:type="table" w:customStyle="1" w:styleId="TableGrid1">
    <w:name w:val="Table Grid1"/>
    <w:basedOn w:val="TableNormal"/>
    <w:next w:val="TableGrid"/>
    <w:uiPriority w:val="39"/>
    <w:rsid w:val="00695FF5"/>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22B2"/>
    <w:rPr>
      <w:sz w:val="20"/>
      <w:szCs w:val="20"/>
      <w:lang w:eastAsia="en-US"/>
    </w:rPr>
  </w:style>
  <w:style w:type="character" w:customStyle="1" w:styleId="FootnoteTextChar">
    <w:name w:val="Footnote Text Char"/>
    <w:basedOn w:val="DefaultParagraphFont"/>
    <w:link w:val="FootnoteText"/>
    <w:uiPriority w:val="99"/>
    <w:semiHidden/>
    <w:rsid w:val="00CB22B2"/>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CB22B2"/>
    <w:rPr>
      <w:vertAlign w:val="superscript"/>
    </w:rPr>
  </w:style>
  <w:style w:type="table" w:customStyle="1" w:styleId="AY">
    <w:name w:val="AY"/>
    <w:basedOn w:val="TableNormal"/>
    <w:uiPriority w:val="99"/>
    <w:rsid w:val="00C3483E"/>
    <w:pPr>
      <w:spacing w:before="40" w:after="40"/>
      <w:contextualSpacing/>
    </w:pPr>
    <w:rPr>
      <w:rFonts w:eastAsiaTheme="minorEastAsia"/>
      <w:sz w:val="24"/>
      <w:szCs w:val="24"/>
      <w:lang w:val="en-US" w:eastAsia="ja-JP"/>
    </w:rPr>
    <w:tblPr>
      <w:tblStyleRowBandSize w:val="1"/>
      <w:tblBorders>
        <w:top w:val="single" w:sz="4" w:space="0" w:color="000000" w:themeColor="text1"/>
        <w:bottom w:val="single" w:sz="4" w:space="0" w:color="000000" w:themeColor="text1"/>
      </w:tblBorders>
    </w:tblPr>
    <w:tcPr>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44546A" w:themeFill="text2"/>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tcPr>
    </w:tblStylePr>
    <w:tblStylePr w:type="band1Horz">
      <w:tblPr/>
      <w:tcPr>
        <w:tcBorders>
          <w:top w:val="single" w:sz="4" w:space="0" w:color="000000" w:themeColor="text1"/>
          <w:left w:val="nil"/>
          <w:bottom w:val="single" w:sz="4" w:space="0" w:color="000000" w:themeColor="text1"/>
          <w:right w:val="nil"/>
          <w:insideH w:val="nil"/>
          <w:insideV w:val="nil"/>
          <w:tl2br w:val="nil"/>
          <w:tr2bl w:val="nil"/>
        </w:tcBorders>
      </w:tcPr>
    </w:tblStylePr>
  </w:style>
  <w:style w:type="paragraph" w:customStyle="1" w:styleId="ListHeading1">
    <w:name w:val="List Heading 1"/>
    <w:basedOn w:val="Heading1"/>
    <w:next w:val="Level1"/>
    <w:uiPriority w:val="10"/>
    <w:rsid w:val="00C3483E"/>
    <w:pPr>
      <w:numPr>
        <w:numId w:val="37"/>
      </w:numPr>
      <w:tabs>
        <w:tab w:val="clear" w:pos="720"/>
        <w:tab w:val="num" w:pos="360"/>
      </w:tabs>
      <w:spacing w:after="240" w:line="245" w:lineRule="auto"/>
      <w:ind w:left="0" w:firstLine="0"/>
    </w:pPr>
    <w:rPr>
      <w:rFonts w:ascii="Open Sans SemiBold" w:eastAsia="Open Sans" w:hAnsi="Open Sans SemiBold" w:cs="Times New Roman"/>
      <w:b/>
      <w:color w:val="000000" w:themeColor="text1"/>
      <w:szCs w:val="22"/>
      <w:lang w:eastAsia="en-US"/>
    </w:rPr>
  </w:style>
  <w:style w:type="paragraph" w:customStyle="1" w:styleId="Level1">
    <w:name w:val="Level 1"/>
    <w:basedOn w:val="Normal"/>
    <w:uiPriority w:val="18"/>
    <w:qFormat/>
    <w:rsid w:val="00C3483E"/>
    <w:pPr>
      <w:numPr>
        <w:ilvl w:val="1"/>
        <w:numId w:val="37"/>
      </w:numPr>
      <w:tabs>
        <w:tab w:val="clear" w:pos="720"/>
        <w:tab w:val="num" w:pos="360"/>
      </w:tabs>
      <w:spacing w:after="240" w:line="245" w:lineRule="auto"/>
      <w:ind w:left="0" w:firstLine="0"/>
      <w:jc w:val="both"/>
    </w:pPr>
    <w:rPr>
      <w:rFonts w:ascii="Open Sans" w:eastAsiaTheme="minorEastAsia" w:hAnsi="Open Sans" w:cstheme="minorBidi"/>
      <w:sz w:val="20"/>
      <w:szCs w:val="22"/>
      <w:lang w:eastAsia="en-US"/>
    </w:rPr>
  </w:style>
  <w:style w:type="character" w:customStyle="1" w:styleId="Heading1Char">
    <w:name w:val="Heading 1 Char"/>
    <w:basedOn w:val="DefaultParagraphFont"/>
    <w:link w:val="Heading1"/>
    <w:uiPriority w:val="9"/>
    <w:rsid w:val="00C3483E"/>
    <w:rPr>
      <w:rFonts w:asciiTheme="majorHAnsi" w:eastAsiaTheme="majorEastAsia" w:hAnsiTheme="majorHAnsi" w:cstheme="majorBidi"/>
      <w:color w:val="2F5496" w:themeColor="accent1" w:themeShade="BF"/>
      <w:sz w:val="32"/>
      <w:szCs w:val="32"/>
      <w:lang w:eastAsia="ja-JP"/>
    </w:rPr>
  </w:style>
  <w:style w:type="paragraph" w:styleId="Revision">
    <w:name w:val="Revision"/>
    <w:hidden/>
    <w:uiPriority w:val="99"/>
    <w:semiHidden/>
    <w:rsid w:val="000C2E76"/>
    <w:rPr>
      <w:rFonts w:ascii="Arial" w:eastAsia="MS Mincho" w:hAnsi="Arial" w:cs="Times New Roman"/>
      <w:sz w:val="24"/>
      <w:szCs w:val="24"/>
      <w:lang w:eastAsia="ja-JP"/>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9481">
      <w:bodyDiv w:val="1"/>
      <w:marLeft w:val="0"/>
      <w:marRight w:val="0"/>
      <w:marTop w:val="0"/>
      <w:marBottom w:val="0"/>
      <w:divBdr>
        <w:top w:val="none" w:sz="0" w:space="0" w:color="auto"/>
        <w:left w:val="none" w:sz="0" w:space="0" w:color="auto"/>
        <w:bottom w:val="none" w:sz="0" w:space="0" w:color="auto"/>
        <w:right w:val="none" w:sz="0" w:space="0" w:color="auto"/>
      </w:divBdr>
    </w:div>
    <w:div w:id="413670536">
      <w:bodyDiv w:val="1"/>
      <w:marLeft w:val="0"/>
      <w:marRight w:val="0"/>
      <w:marTop w:val="0"/>
      <w:marBottom w:val="0"/>
      <w:divBdr>
        <w:top w:val="none" w:sz="0" w:space="0" w:color="auto"/>
        <w:left w:val="none" w:sz="0" w:space="0" w:color="auto"/>
        <w:bottom w:val="none" w:sz="0" w:space="0" w:color="auto"/>
        <w:right w:val="none" w:sz="0" w:space="0" w:color="auto"/>
      </w:divBdr>
      <w:divsChild>
        <w:div w:id="26227196">
          <w:marLeft w:val="0"/>
          <w:marRight w:val="0"/>
          <w:marTop w:val="0"/>
          <w:marBottom w:val="0"/>
          <w:divBdr>
            <w:top w:val="none" w:sz="0" w:space="0" w:color="auto"/>
            <w:left w:val="none" w:sz="0" w:space="0" w:color="auto"/>
            <w:bottom w:val="none" w:sz="0" w:space="0" w:color="auto"/>
            <w:right w:val="none" w:sz="0" w:space="0" w:color="auto"/>
          </w:divBdr>
        </w:div>
        <w:div w:id="47919157">
          <w:marLeft w:val="0"/>
          <w:marRight w:val="0"/>
          <w:marTop w:val="0"/>
          <w:marBottom w:val="0"/>
          <w:divBdr>
            <w:top w:val="none" w:sz="0" w:space="0" w:color="auto"/>
            <w:left w:val="none" w:sz="0" w:space="0" w:color="auto"/>
            <w:bottom w:val="none" w:sz="0" w:space="0" w:color="auto"/>
            <w:right w:val="none" w:sz="0" w:space="0" w:color="auto"/>
          </w:divBdr>
        </w:div>
        <w:div w:id="178276933">
          <w:marLeft w:val="0"/>
          <w:marRight w:val="0"/>
          <w:marTop w:val="0"/>
          <w:marBottom w:val="0"/>
          <w:divBdr>
            <w:top w:val="none" w:sz="0" w:space="0" w:color="auto"/>
            <w:left w:val="none" w:sz="0" w:space="0" w:color="auto"/>
            <w:bottom w:val="none" w:sz="0" w:space="0" w:color="auto"/>
            <w:right w:val="none" w:sz="0" w:space="0" w:color="auto"/>
          </w:divBdr>
        </w:div>
        <w:div w:id="339554150">
          <w:marLeft w:val="0"/>
          <w:marRight w:val="0"/>
          <w:marTop w:val="0"/>
          <w:marBottom w:val="0"/>
          <w:divBdr>
            <w:top w:val="none" w:sz="0" w:space="0" w:color="auto"/>
            <w:left w:val="none" w:sz="0" w:space="0" w:color="auto"/>
            <w:bottom w:val="none" w:sz="0" w:space="0" w:color="auto"/>
            <w:right w:val="none" w:sz="0" w:space="0" w:color="auto"/>
          </w:divBdr>
        </w:div>
        <w:div w:id="424810824">
          <w:marLeft w:val="0"/>
          <w:marRight w:val="0"/>
          <w:marTop w:val="0"/>
          <w:marBottom w:val="0"/>
          <w:divBdr>
            <w:top w:val="none" w:sz="0" w:space="0" w:color="auto"/>
            <w:left w:val="none" w:sz="0" w:space="0" w:color="auto"/>
            <w:bottom w:val="none" w:sz="0" w:space="0" w:color="auto"/>
            <w:right w:val="none" w:sz="0" w:space="0" w:color="auto"/>
          </w:divBdr>
        </w:div>
        <w:div w:id="469127726">
          <w:marLeft w:val="0"/>
          <w:marRight w:val="0"/>
          <w:marTop w:val="0"/>
          <w:marBottom w:val="0"/>
          <w:divBdr>
            <w:top w:val="none" w:sz="0" w:space="0" w:color="auto"/>
            <w:left w:val="none" w:sz="0" w:space="0" w:color="auto"/>
            <w:bottom w:val="none" w:sz="0" w:space="0" w:color="auto"/>
            <w:right w:val="none" w:sz="0" w:space="0" w:color="auto"/>
          </w:divBdr>
        </w:div>
        <w:div w:id="604769161">
          <w:marLeft w:val="0"/>
          <w:marRight w:val="0"/>
          <w:marTop w:val="0"/>
          <w:marBottom w:val="0"/>
          <w:divBdr>
            <w:top w:val="none" w:sz="0" w:space="0" w:color="auto"/>
            <w:left w:val="none" w:sz="0" w:space="0" w:color="auto"/>
            <w:bottom w:val="none" w:sz="0" w:space="0" w:color="auto"/>
            <w:right w:val="none" w:sz="0" w:space="0" w:color="auto"/>
          </w:divBdr>
        </w:div>
        <w:div w:id="660231730">
          <w:marLeft w:val="0"/>
          <w:marRight w:val="0"/>
          <w:marTop w:val="0"/>
          <w:marBottom w:val="0"/>
          <w:divBdr>
            <w:top w:val="none" w:sz="0" w:space="0" w:color="auto"/>
            <w:left w:val="none" w:sz="0" w:space="0" w:color="auto"/>
            <w:bottom w:val="none" w:sz="0" w:space="0" w:color="auto"/>
            <w:right w:val="none" w:sz="0" w:space="0" w:color="auto"/>
          </w:divBdr>
        </w:div>
        <w:div w:id="837309384">
          <w:marLeft w:val="0"/>
          <w:marRight w:val="0"/>
          <w:marTop w:val="0"/>
          <w:marBottom w:val="0"/>
          <w:divBdr>
            <w:top w:val="none" w:sz="0" w:space="0" w:color="auto"/>
            <w:left w:val="none" w:sz="0" w:space="0" w:color="auto"/>
            <w:bottom w:val="none" w:sz="0" w:space="0" w:color="auto"/>
            <w:right w:val="none" w:sz="0" w:space="0" w:color="auto"/>
          </w:divBdr>
        </w:div>
        <w:div w:id="937637696">
          <w:marLeft w:val="0"/>
          <w:marRight w:val="0"/>
          <w:marTop w:val="0"/>
          <w:marBottom w:val="0"/>
          <w:divBdr>
            <w:top w:val="none" w:sz="0" w:space="0" w:color="auto"/>
            <w:left w:val="none" w:sz="0" w:space="0" w:color="auto"/>
            <w:bottom w:val="none" w:sz="0" w:space="0" w:color="auto"/>
            <w:right w:val="none" w:sz="0" w:space="0" w:color="auto"/>
          </w:divBdr>
        </w:div>
        <w:div w:id="1013341801">
          <w:marLeft w:val="0"/>
          <w:marRight w:val="0"/>
          <w:marTop w:val="0"/>
          <w:marBottom w:val="0"/>
          <w:divBdr>
            <w:top w:val="none" w:sz="0" w:space="0" w:color="auto"/>
            <w:left w:val="none" w:sz="0" w:space="0" w:color="auto"/>
            <w:bottom w:val="none" w:sz="0" w:space="0" w:color="auto"/>
            <w:right w:val="none" w:sz="0" w:space="0" w:color="auto"/>
          </w:divBdr>
        </w:div>
        <w:div w:id="1026834627">
          <w:marLeft w:val="0"/>
          <w:marRight w:val="0"/>
          <w:marTop w:val="0"/>
          <w:marBottom w:val="0"/>
          <w:divBdr>
            <w:top w:val="none" w:sz="0" w:space="0" w:color="auto"/>
            <w:left w:val="none" w:sz="0" w:space="0" w:color="auto"/>
            <w:bottom w:val="none" w:sz="0" w:space="0" w:color="auto"/>
            <w:right w:val="none" w:sz="0" w:space="0" w:color="auto"/>
          </w:divBdr>
        </w:div>
        <w:div w:id="1058822763">
          <w:marLeft w:val="0"/>
          <w:marRight w:val="0"/>
          <w:marTop w:val="0"/>
          <w:marBottom w:val="0"/>
          <w:divBdr>
            <w:top w:val="none" w:sz="0" w:space="0" w:color="auto"/>
            <w:left w:val="none" w:sz="0" w:space="0" w:color="auto"/>
            <w:bottom w:val="none" w:sz="0" w:space="0" w:color="auto"/>
            <w:right w:val="none" w:sz="0" w:space="0" w:color="auto"/>
          </w:divBdr>
        </w:div>
        <w:div w:id="1103039692">
          <w:marLeft w:val="0"/>
          <w:marRight w:val="0"/>
          <w:marTop w:val="0"/>
          <w:marBottom w:val="0"/>
          <w:divBdr>
            <w:top w:val="none" w:sz="0" w:space="0" w:color="auto"/>
            <w:left w:val="none" w:sz="0" w:space="0" w:color="auto"/>
            <w:bottom w:val="none" w:sz="0" w:space="0" w:color="auto"/>
            <w:right w:val="none" w:sz="0" w:space="0" w:color="auto"/>
          </w:divBdr>
        </w:div>
        <w:div w:id="1283028045">
          <w:marLeft w:val="0"/>
          <w:marRight w:val="0"/>
          <w:marTop w:val="0"/>
          <w:marBottom w:val="0"/>
          <w:divBdr>
            <w:top w:val="none" w:sz="0" w:space="0" w:color="auto"/>
            <w:left w:val="none" w:sz="0" w:space="0" w:color="auto"/>
            <w:bottom w:val="none" w:sz="0" w:space="0" w:color="auto"/>
            <w:right w:val="none" w:sz="0" w:space="0" w:color="auto"/>
          </w:divBdr>
        </w:div>
        <w:div w:id="1468474046">
          <w:marLeft w:val="0"/>
          <w:marRight w:val="0"/>
          <w:marTop w:val="0"/>
          <w:marBottom w:val="0"/>
          <w:divBdr>
            <w:top w:val="none" w:sz="0" w:space="0" w:color="auto"/>
            <w:left w:val="none" w:sz="0" w:space="0" w:color="auto"/>
            <w:bottom w:val="none" w:sz="0" w:space="0" w:color="auto"/>
            <w:right w:val="none" w:sz="0" w:space="0" w:color="auto"/>
          </w:divBdr>
        </w:div>
        <w:div w:id="1584727361">
          <w:marLeft w:val="0"/>
          <w:marRight w:val="0"/>
          <w:marTop w:val="0"/>
          <w:marBottom w:val="0"/>
          <w:divBdr>
            <w:top w:val="none" w:sz="0" w:space="0" w:color="auto"/>
            <w:left w:val="none" w:sz="0" w:space="0" w:color="auto"/>
            <w:bottom w:val="none" w:sz="0" w:space="0" w:color="auto"/>
            <w:right w:val="none" w:sz="0" w:space="0" w:color="auto"/>
          </w:divBdr>
        </w:div>
        <w:div w:id="1590315204">
          <w:marLeft w:val="0"/>
          <w:marRight w:val="0"/>
          <w:marTop w:val="0"/>
          <w:marBottom w:val="0"/>
          <w:divBdr>
            <w:top w:val="none" w:sz="0" w:space="0" w:color="auto"/>
            <w:left w:val="none" w:sz="0" w:space="0" w:color="auto"/>
            <w:bottom w:val="none" w:sz="0" w:space="0" w:color="auto"/>
            <w:right w:val="none" w:sz="0" w:space="0" w:color="auto"/>
          </w:divBdr>
        </w:div>
        <w:div w:id="1647976254">
          <w:marLeft w:val="0"/>
          <w:marRight w:val="0"/>
          <w:marTop w:val="0"/>
          <w:marBottom w:val="0"/>
          <w:divBdr>
            <w:top w:val="none" w:sz="0" w:space="0" w:color="auto"/>
            <w:left w:val="none" w:sz="0" w:space="0" w:color="auto"/>
            <w:bottom w:val="none" w:sz="0" w:space="0" w:color="auto"/>
            <w:right w:val="none" w:sz="0" w:space="0" w:color="auto"/>
          </w:divBdr>
        </w:div>
        <w:div w:id="1660227834">
          <w:marLeft w:val="0"/>
          <w:marRight w:val="0"/>
          <w:marTop w:val="0"/>
          <w:marBottom w:val="0"/>
          <w:divBdr>
            <w:top w:val="none" w:sz="0" w:space="0" w:color="auto"/>
            <w:left w:val="none" w:sz="0" w:space="0" w:color="auto"/>
            <w:bottom w:val="none" w:sz="0" w:space="0" w:color="auto"/>
            <w:right w:val="none" w:sz="0" w:space="0" w:color="auto"/>
          </w:divBdr>
        </w:div>
        <w:div w:id="1783185194">
          <w:marLeft w:val="0"/>
          <w:marRight w:val="0"/>
          <w:marTop w:val="0"/>
          <w:marBottom w:val="0"/>
          <w:divBdr>
            <w:top w:val="none" w:sz="0" w:space="0" w:color="auto"/>
            <w:left w:val="none" w:sz="0" w:space="0" w:color="auto"/>
            <w:bottom w:val="none" w:sz="0" w:space="0" w:color="auto"/>
            <w:right w:val="none" w:sz="0" w:space="0" w:color="auto"/>
          </w:divBdr>
        </w:div>
        <w:div w:id="1802839838">
          <w:marLeft w:val="0"/>
          <w:marRight w:val="0"/>
          <w:marTop w:val="0"/>
          <w:marBottom w:val="0"/>
          <w:divBdr>
            <w:top w:val="none" w:sz="0" w:space="0" w:color="auto"/>
            <w:left w:val="none" w:sz="0" w:space="0" w:color="auto"/>
            <w:bottom w:val="none" w:sz="0" w:space="0" w:color="auto"/>
            <w:right w:val="none" w:sz="0" w:space="0" w:color="auto"/>
          </w:divBdr>
        </w:div>
        <w:div w:id="1910571986">
          <w:marLeft w:val="0"/>
          <w:marRight w:val="0"/>
          <w:marTop w:val="0"/>
          <w:marBottom w:val="0"/>
          <w:divBdr>
            <w:top w:val="none" w:sz="0" w:space="0" w:color="auto"/>
            <w:left w:val="none" w:sz="0" w:space="0" w:color="auto"/>
            <w:bottom w:val="none" w:sz="0" w:space="0" w:color="auto"/>
            <w:right w:val="none" w:sz="0" w:space="0" w:color="auto"/>
          </w:divBdr>
        </w:div>
        <w:div w:id="1983994912">
          <w:marLeft w:val="0"/>
          <w:marRight w:val="0"/>
          <w:marTop w:val="0"/>
          <w:marBottom w:val="0"/>
          <w:divBdr>
            <w:top w:val="none" w:sz="0" w:space="0" w:color="auto"/>
            <w:left w:val="none" w:sz="0" w:space="0" w:color="auto"/>
            <w:bottom w:val="none" w:sz="0" w:space="0" w:color="auto"/>
            <w:right w:val="none" w:sz="0" w:space="0" w:color="auto"/>
          </w:divBdr>
        </w:div>
      </w:divsChild>
    </w:div>
    <w:div w:id="8693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89585/Downloads/Cabinet%20Decision%20Notice%20-%2011%20June%202024.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324c17e839fd001486724b/Fact_sheet_8._Economic__social__environmental_benefit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D7D90D3189D47AE66A2D9346DDC16" ma:contentTypeVersion="18" ma:contentTypeDescription="Create a new document." ma:contentTypeScope="" ma:versionID="47e2bae9029e048dae84993965b4089a">
  <xsd:schema xmlns:xsd="http://www.w3.org/2001/XMLSchema" xmlns:xs="http://www.w3.org/2001/XMLSchema" xmlns:p="http://schemas.microsoft.com/office/2006/metadata/properties" xmlns:ns2="987c1c2e-0242-46eb-9b69-16b1d7ad91d0" xmlns:ns3="a6629934-8f11-43d4-9284-a90f0692aadb" targetNamespace="http://schemas.microsoft.com/office/2006/metadata/properties" ma:root="true" ma:fieldsID="62f5779676bb5cb71961b44d77c54a11" ns2:_="" ns3:_="">
    <xsd:import namespace="987c1c2e-0242-46eb-9b69-16b1d7ad91d0"/>
    <xsd:import namespace="a6629934-8f11-43d4-9284-a90f0692aa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c1c2e-0242-46eb-9b69-16b1d7ad9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29934-8f11-43d4-9284-a90f0692aad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9ea228-f7cb-4702-a653-b2f212adc1bb}" ma:internalName="TaxCatchAll" ma:showField="CatchAllData" ma:web="a6629934-8f11-43d4-9284-a90f0692a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7c1c2e-0242-46eb-9b69-16b1d7ad91d0">
      <Terms xmlns="http://schemas.microsoft.com/office/infopath/2007/PartnerControls"/>
    </lcf76f155ced4ddcb4097134ff3c332f>
    <TaxCatchAll xmlns="a6629934-8f11-43d4-9284-a90f0692aadb" xsi:nil="true"/>
    <SharedWithUsers xmlns="a6629934-8f11-43d4-9284-a90f0692aadb">
      <UserInfo>
        <DisplayName>Wells, Melissa, (NECA)</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242E-6962-4607-BC39-74116636E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c1c2e-0242-46eb-9b69-16b1d7ad91d0"/>
    <ds:schemaRef ds:uri="a6629934-8f11-43d4-9284-a90f0692a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857D9-D3F4-4E28-8B5B-C2A807DB5A7F}">
  <ds:schemaRefs>
    <ds:schemaRef ds:uri="http://schemas.microsoft.com/office/2006/metadata/properties"/>
    <ds:schemaRef ds:uri="http://schemas.microsoft.com/office/infopath/2007/PartnerControls"/>
    <ds:schemaRef ds:uri="987c1c2e-0242-46eb-9b69-16b1d7ad91d0"/>
    <ds:schemaRef ds:uri="a6629934-8f11-43d4-9284-a90f0692aadb"/>
  </ds:schemaRefs>
</ds:datastoreItem>
</file>

<file path=customXml/itemProps3.xml><?xml version="1.0" encoding="utf-8"?>
<ds:datastoreItem xmlns:ds="http://schemas.openxmlformats.org/officeDocument/2006/customXml" ds:itemID="{5703A9C3-B5FE-4B3C-9D43-B100661A4ADF}">
  <ds:schemaRefs>
    <ds:schemaRef ds:uri="http://schemas.microsoft.com/sharepoint/v3/contenttype/forms"/>
  </ds:schemaRefs>
</ds:datastoreItem>
</file>

<file path=customXml/itemProps4.xml><?xml version="1.0" encoding="utf-8"?>
<ds:datastoreItem xmlns:ds="http://schemas.openxmlformats.org/officeDocument/2006/customXml" ds:itemID="{4D4E8A5A-A1A4-4097-952D-A1D60E5F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2528</Words>
  <Characters>14414</Characters>
  <Application>Microsoft Office Word</Application>
  <DocSecurity>0</DocSecurity>
  <Lines>120</Lines>
  <Paragraphs>33</Paragraphs>
  <ScaleCrop>false</ScaleCrop>
  <Company/>
  <LinksUpToDate>false</LinksUpToDate>
  <CharactersWithSpaces>16909</CharactersWithSpaces>
  <SharedDoc>false</SharedDoc>
  <HLinks>
    <vt:vector size="12" baseType="variant">
      <vt:variant>
        <vt:i4>2687031</vt:i4>
      </vt:variant>
      <vt:variant>
        <vt:i4>3</vt:i4>
      </vt:variant>
      <vt:variant>
        <vt:i4>0</vt:i4>
      </vt:variant>
      <vt:variant>
        <vt:i4>5</vt:i4>
      </vt:variant>
      <vt:variant>
        <vt:lpwstr>C:\Users\89585\Downloads\Cabinet Decision Notice - 11 June 2024.pdf</vt:lpwstr>
      </vt:variant>
      <vt:variant>
        <vt:lpwstr/>
      </vt:variant>
      <vt:variant>
        <vt:i4>4063264</vt:i4>
      </vt:variant>
      <vt:variant>
        <vt:i4>0</vt:i4>
      </vt:variant>
      <vt:variant>
        <vt:i4>0</vt:i4>
      </vt:variant>
      <vt:variant>
        <vt:i4>5</vt:i4>
      </vt:variant>
      <vt:variant>
        <vt:lpwstr>https://assets.publishing.service.gov.uk/media/65324c17e839fd001486724b/Fact_sheet_8._Economic__social__environmental_benefits.pdf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Slesser, Julie (North Of Tyne)</dc:creator>
  <cp:keywords/>
  <dc:description/>
  <cp:lastModifiedBy>Slesser, Julie (North East CA)</cp:lastModifiedBy>
  <cp:revision>9</cp:revision>
  <cp:lastPrinted>2020-03-05T16:51:00Z</cp:lastPrinted>
  <dcterms:created xsi:type="dcterms:W3CDTF">2024-08-02T08:57:00Z</dcterms:created>
  <dcterms:modified xsi:type="dcterms:W3CDTF">2024-08-02T10:47:00Z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0x010100B54D7D90D3189D47AE66A2D9346DDC16</vt:lpwstr>
  </property>
  <property fmtid="{D5CDD505-2E9C-101B-9397-08002B2CF9AE}" pid="3" name="MediaServiceImageTags">
    <vt:lpwstr/>
  </property>
</Properties>
</file>